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173F" w14:textId="77777777" w:rsidR="0098437B" w:rsidRPr="002D13F5" w:rsidRDefault="0098437B" w:rsidP="0098437B">
      <w:pPr>
        <w:rPr>
          <w:b/>
          <w:bCs/>
        </w:rPr>
      </w:pPr>
      <w:r w:rsidRPr="002D13F5">
        <w:rPr>
          <w:b/>
          <w:bCs/>
        </w:rPr>
        <w:t>8 kroků</w:t>
      </w:r>
    </w:p>
    <w:p w14:paraId="0E6A97B8" w14:textId="77777777" w:rsidR="0098437B" w:rsidRDefault="0098437B" w:rsidP="0098437B">
      <w:r>
        <w:t>8 kroků, kterými může vedení města docílit toho, aby jejich město bylo vhodné pro chodce.</w:t>
      </w:r>
    </w:p>
    <w:p w14:paraId="2A4B1A6E" w14:textId="77777777" w:rsidR="0098437B" w:rsidRDefault="0098437B" w:rsidP="0098437B">
      <w:r>
        <w:t>Walk21 poskytuje školení, které městu pomůže tyto kroky realizovat; jednotlivé kroky jsou ilustrovány mezinárodními příklady z jiných měst. Stručně řečeno, vedení musí představit vizi města, kde chůze a obyvatelnost mají svou hodnotu; zavázat se k dodržování principů, podle nichž jsou chodci na prvním místě; zadat výzkum chování chodců a současných podmínek pro chůzi; podporovat účast veřejnosti na plánování a veřejném životě; revidovat politiky, normy a předpisy; a podporovat mezioborovou spolupráci při naplňování vize.</w:t>
      </w:r>
    </w:p>
    <w:p w14:paraId="1E41A45C" w14:textId="77777777" w:rsidR="0098437B" w:rsidRDefault="0098437B" w:rsidP="0098437B">
      <w:r>
        <w:t>Příručka pro starosty, kteří chtějí vytvořit města vhodná pro pěší dopravu</w:t>
      </w:r>
    </w:p>
    <w:p w14:paraId="574B3251" w14:textId="77777777" w:rsidR="0098437B" w:rsidRDefault="0098437B" w:rsidP="0098437B">
      <w:r>
        <w:t>Walk21 poskytuje semináře a školení na podporu starostů při realizaci procesu 8 kroků.</w:t>
      </w:r>
    </w:p>
    <w:p w14:paraId="7AD61F8B" w14:textId="77777777" w:rsidR="0098437B" w:rsidRPr="00D12307" w:rsidRDefault="0098437B" w:rsidP="0098437B">
      <w:r>
        <w:t xml:space="preserve">Tato podpora se již osvědčila v následujících oblastech: </w:t>
      </w:r>
      <w:proofErr w:type="spellStart"/>
      <w:r>
        <w:t>Conception</w:t>
      </w:r>
      <w:proofErr w:type="spellEnd"/>
      <w:r>
        <w:t xml:space="preserve"> v Chile, </w:t>
      </w:r>
      <w:proofErr w:type="spellStart"/>
      <w:r>
        <w:t>Medellín</w:t>
      </w:r>
      <w:proofErr w:type="spellEnd"/>
      <w:r>
        <w:t xml:space="preserve"> v Kolumbii, Dháka v Bangladéši, Manila na Filipínách, Manchester ve Velké Británii, Nairobi v Keni, Kampala v Ugandě a Rotterdam v Nizozemsku.</w:t>
      </w:r>
    </w:p>
    <w:p w14:paraId="03851AB3" w14:textId="77777777" w:rsidR="0098437B" w:rsidRPr="00245351" w:rsidRDefault="0098437B" w:rsidP="0098437B">
      <w:r w:rsidRPr="00245351">
        <w:t>Krok 1:</w:t>
      </w:r>
    </w:p>
    <w:p w14:paraId="245DFA9A" w14:textId="77777777" w:rsidR="0098437B" w:rsidRPr="00245351" w:rsidRDefault="0098437B" w:rsidP="0098437B">
      <w:r w:rsidRPr="00245351">
        <w:t>Zavažte se, že zlepšíte</w:t>
      </w:r>
      <w:r>
        <w:t xml:space="preserve"> podmínky pro</w:t>
      </w:r>
      <w:r w:rsidRPr="00245351">
        <w:t xml:space="preserve"> chůzi</w:t>
      </w:r>
    </w:p>
    <w:p w14:paraId="4463BAEA" w14:textId="77777777" w:rsidR="0098437B" w:rsidRPr="00245351" w:rsidRDefault="0098437B" w:rsidP="0098437B">
      <w:hyperlink r:id="rId8" w:history="1">
        <w:r w:rsidRPr="00245351">
          <w:rPr>
            <w:rStyle w:val="Hypertextovodkaz"/>
            <w:b/>
            <w:bCs/>
          </w:rPr>
          <w:t xml:space="preserve">Podepište Mezinárodní chartu </w:t>
        </w:r>
        <w:r>
          <w:rPr>
            <w:rStyle w:val="Hypertextovodkaz"/>
            <w:b/>
            <w:bCs/>
          </w:rPr>
          <w:t>pro pěší dopravu</w:t>
        </w:r>
        <w:r w:rsidRPr="00245351">
          <w:rPr>
            <w:rStyle w:val="Hypertextovodkaz"/>
            <w:b/>
            <w:bCs/>
          </w:rPr>
          <w:t>.</w:t>
        </w:r>
      </w:hyperlink>
    </w:p>
    <w:p w14:paraId="41067C19" w14:textId="77777777" w:rsidR="0098437B" w:rsidRPr="00245351" w:rsidRDefault="0098437B" w:rsidP="0098437B">
      <w:r w:rsidRPr="00245351">
        <w:t>Mezinárodní charta pro pěší dopravu je společným politickým odkazem s 8 klíčovými zásadami a 34 názornými opatřeními, které vypracovali odborníci z více než 35 zemí. Podepsalo ji už přes 5 000 politiků, akademiků, odborníků a vedoucích představitelů komunit a je viditelným závazkem k naplňování potřeb lidí, kteří chodí pěšky.</w:t>
      </w:r>
    </w:p>
    <w:p w14:paraId="30D3A3CC" w14:textId="77777777" w:rsidR="0098437B" w:rsidRPr="00245351" w:rsidRDefault="0098437B" w:rsidP="0098437B">
      <w:r w:rsidRPr="00245351">
        <w:t>Krok 2:</w:t>
      </w:r>
    </w:p>
    <w:p w14:paraId="423FA559" w14:textId="77777777" w:rsidR="0098437B" w:rsidRPr="00245351" w:rsidRDefault="0098437B" w:rsidP="0098437B">
      <w:r w:rsidRPr="00245351">
        <w:t>Poznejte chování chodců</w:t>
      </w:r>
    </w:p>
    <w:p w14:paraId="1EB711D0" w14:textId="77777777" w:rsidR="0098437B" w:rsidRPr="00245351" w:rsidRDefault="0098437B" w:rsidP="0098437B">
      <w:r w:rsidRPr="00245351">
        <w:t>Zadejte výzkum chování pěších, abyste porozuměli stávající pěší aktivitě.</w:t>
      </w:r>
    </w:p>
    <w:p w14:paraId="7033212A" w14:textId="77777777" w:rsidR="0098437B" w:rsidRDefault="0098437B" w:rsidP="0098437B">
      <w:r w:rsidRPr="00245351">
        <w:t xml:space="preserve">Posouzením chování lidí, kteří chodí pěšky, a </w:t>
      </w:r>
      <w:hyperlink r:id="rId9" w:history="1">
        <w:r w:rsidRPr="00245351">
          <w:rPr>
            <w:rStyle w:val="Hypertextovodkaz"/>
            <w:b/>
            <w:bCs/>
          </w:rPr>
          <w:t>měřením pěší</w:t>
        </w:r>
      </w:hyperlink>
      <w:r w:rsidRPr="00245351">
        <w:t xml:space="preserve"> aktivity ve městě, v rozmanitém městském prostředí a mezi různými sociálními skupinami lze pochopit účinnost různých faktorů návrhu při podpoře chůze. Kritéria schůdnosti mohou být upřesněna a testována. </w:t>
      </w:r>
      <w:r w:rsidRPr="00245351">
        <w:rPr>
          <w:b/>
          <w:bCs/>
        </w:rPr>
        <w:t xml:space="preserve">Mezinárodní datový standard pro pěší </w:t>
      </w:r>
      <w:r>
        <w:rPr>
          <w:b/>
          <w:bCs/>
        </w:rPr>
        <w:t>dopravu</w:t>
      </w:r>
      <w:r w:rsidRPr="00245351">
        <w:t xml:space="preserve"> umožňuje jednotně měřit poptávku po pěší dopravě.</w:t>
      </w:r>
    </w:p>
    <w:p w14:paraId="5B1F6DE7" w14:textId="028C5F2B" w:rsidR="00630CB6" w:rsidRDefault="00630CB6" w:rsidP="00630CB6">
      <w:pPr>
        <w:pStyle w:val="Odstavecseseznamem"/>
        <w:numPr>
          <w:ilvl w:val="0"/>
          <w:numId w:val="13"/>
        </w:num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E6F3054" wp14:editId="355D6AC8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3215919" cy="2644369"/>
            <wp:effectExtent l="0" t="0" r="3810" b="3810"/>
            <wp:wrapTight wrapText="bothSides">
              <wp:wrapPolygon edited="0">
                <wp:start x="0" y="0"/>
                <wp:lineTo x="0" y="21476"/>
                <wp:lineTo x="21498" y="21476"/>
                <wp:lineTo x="21498" y="0"/>
                <wp:lineTo x="0" y="0"/>
              </wp:wrapPolygon>
            </wp:wrapTight>
            <wp:docPr id="1759010732" name="Obrázek 2" descr="Obsah obrázku design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10732" name="Obrázek 2" descr="Obsah obrázku design, ilustrace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919" cy="2644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Pěší doprava</w:t>
      </w:r>
    </w:p>
    <w:p w14:paraId="4A6409B3" w14:textId="641ED4DC" w:rsidR="00630CB6" w:rsidRPr="00245351" w:rsidRDefault="00630CB6" w:rsidP="00630CB6">
      <w:pPr>
        <w:pStyle w:val="Odstavecseseznamem"/>
        <w:numPr>
          <w:ilvl w:val="0"/>
          <w:numId w:val="13"/>
        </w:numPr>
      </w:pPr>
      <w:r>
        <w:t>Cyklisté a přestupní doprava</w:t>
      </w:r>
    </w:p>
    <w:p w14:paraId="748C48D5" w14:textId="77777777" w:rsidR="0098437B" w:rsidRPr="00826F3D" w:rsidRDefault="0098437B" w:rsidP="0098437B">
      <w:r w:rsidRPr="00826F3D">
        <w:t>Krok 3:</w:t>
      </w:r>
    </w:p>
    <w:p w14:paraId="44D307E4" w14:textId="77777777" w:rsidR="0098437B" w:rsidRPr="00826F3D" w:rsidRDefault="0098437B" w:rsidP="0098437B">
      <w:r w:rsidRPr="00826F3D">
        <w:t>Identifikujte potenciály</w:t>
      </w:r>
    </w:p>
    <w:p w14:paraId="6EE2A10C" w14:textId="77777777" w:rsidR="0098437B" w:rsidRPr="00826F3D" w:rsidRDefault="0098437B" w:rsidP="0098437B">
      <w:r w:rsidRPr="00826F3D">
        <w:t>Zapojte veřejnost prostřednictvím účasti na plánovacím procesu a aktivitách města.</w:t>
      </w:r>
    </w:p>
    <w:p w14:paraId="074946CB" w14:textId="77777777" w:rsidR="0098437B" w:rsidRPr="00826F3D" w:rsidRDefault="0098437B" w:rsidP="0098437B">
      <w:r w:rsidRPr="00826F3D">
        <w:t xml:space="preserve">Zapojte místní komunity do mapování jejich potřeb, aby bylo možné následně reagovat cílenými zásahy na příslušných místech s vhodnými opatřeními ve prospěch těch, kdo je nejvíce potřebují. Zapojení veřejnosti je pro úspěch klíčové. Je možné pořádat městské akce zaměřené na prožitek chůze. Naše </w:t>
      </w:r>
      <w:hyperlink r:id="rId11" w:history="1">
        <w:r w:rsidRPr="00826F3D">
          <w:rPr>
            <w:rStyle w:val="Hypertextovodkaz"/>
            <w:b/>
            <w:bCs/>
          </w:rPr>
          <w:t>nástroje</w:t>
        </w:r>
      </w:hyperlink>
      <w:r w:rsidRPr="00826F3D">
        <w:t xml:space="preserve"> umožňují veřejnosti sdílet své zkušenosti s chůzí, takže problémové oblasti ve městě jsou viditelné podle věku, </w:t>
      </w:r>
      <w:r>
        <w:t>kondice</w:t>
      </w:r>
      <w:r w:rsidRPr="00826F3D">
        <w:t xml:space="preserve"> a pohlaví. Náš nástroj STRIDE </w:t>
      </w:r>
      <w:r>
        <w:t xml:space="preserve">jsme například použili </w:t>
      </w:r>
      <w:r w:rsidRPr="00826F3D">
        <w:t xml:space="preserve">ve </w:t>
      </w:r>
      <w:hyperlink r:id="rId12" w:history="1">
        <w:r w:rsidRPr="00826F3D">
          <w:rPr>
            <w:rStyle w:val="Hypertextovodkaz"/>
            <w:b/>
            <w:bCs/>
          </w:rPr>
          <w:t xml:space="preserve">městě </w:t>
        </w:r>
        <w:proofErr w:type="spellStart"/>
        <w:r w:rsidRPr="00826F3D">
          <w:rPr>
            <w:rStyle w:val="Hypertextovodkaz"/>
            <w:b/>
            <w:bCs/>
          </w:rPr>
          <w:t>Medellín</w:t>
        </w:r>
        <w:proofErr w:type="spellEnd"/>
        <w:r w:rsidRPr="00826F3D">
          <w:rPr>
            <w:rStyle w:val="Hypertextovodkaz"/>
            <w:b/>
            <w:bCs/>
          </w:rPr>
          <w:t xml:space="preserve"> ve spolupráci s </w:t>
        </w:r>
        <w:proofErr w:type="spellStart"/>
        <w:r w:rsidRPr="00826F3D">
          <w:rPr>
            <w:rStyle w:val="Hypertextovodkaz"/>
            <w:b/>
            <w:bCs/>
          </w:rPr>
          <w:t>FundaPeatón</w:t>
        </w:r>
        <w:proofErr w:type="spellEnd"/>
      </w:hyperlink>
      <w:r w:rsidRPr="00826F3D">
        <w:t xml:space="preserve">, abychom zapojili místní školáky. Tento nástroj byl dále rozpracován do </w:t>
      </w:r>
      <w:hyperlink r:id="rId13" w:anchor="walkability.app" w:history="1">
        <w:r w:rsidRPr="00826F3D">
          <w:rPr>
            <w:rStyle w:val="Hypertextovodkaz"/>
            <w:b/>
            <w:bCs/>
          </w:rPr>
          <w:t xml:space="preserve">aplikace </w:t>
        </w:r>
        <w:proofErr w:type="spellStart"/>
        <w:r w:rsidRPr="00826F3D">
          <w:rPr>
            <w:rStyle w:val="Hypertextovodkaz"/>
            <w:b/>
            <w:bCs/>
          </w:rPr>
          <w:t>Walkability.app</w:t>
        </w:r>
        <w:proofErr w:type="spellEnd"/>
        <w:r w:rsidRPr="00826F3D">
          <w:rPr>
            <w:rStyle w:val="Hypertextovodkaz"/>
            <w:b/>
            <w:bCs/>
          </w:rPr>
          <w:t>.</w:t>
        </w:r>
      </w:hyperlink>
    </w:p>
    <w:p w14:paraId="212D8FEC" w14:textId="77777777" w:rsidR="0098437B" w:rsidRPr="00826F3D" w:rsidRDefault="0098437B" w:rsidP="0098437B">
      <w:r w:rsidRPr="00826F3D">
        <w:t>Krok 4:</w:t>
      </w:r>
    </w:p>
    <w:p w14:paraId="6BF710B9" w14:textId="77777777" w:rsidR="0098437B" w:rsidRPr="00826F3D" w:rsidRDefault="0098437B" w:rsidP="0098437B">
      <w:r w:rsidRPr="00826F3D">
        <w:t>Identifikujte nedostatky</w:t>
      </w:r>
    </w:p>
    <w:p w14:paraId="004967B2" w14:textId="77777777" w:rsidR="0098437B" w:rsidRPr="00826F3D" w:rsidRDefault="0098437B" w:rsidP="0098437B">
      <w:r w:rsidRPr="00826F3D">
        <w:t>Zadejte posouzení současné schůdnosti.</w:t>
      </w:r>
    </w:p>
    <w:p w14:paraId="1B1BCD17" w14:textId="77777777" w:rsidR="0098437B" w:rsidRPr="00826F3D" w:rsidRDefault="0098437B" w:rsidP="0098437B">
      <w:r w:rsidRPr="00826F3D">
        <w:t xml:space="preserve">Je důležité porozumět podmínkám v každé městské části a poté vypracovat politiky a plány pro celkové prostředí pro chodce. Stanovení indexu pěšího potenciálu a indexu nedostatků může být užitečné pro vyhodnocení každého úseku ulice ve městě. Indexy odhalují vzorce potenciálu a potřeb, které lze využít pro nové politiky a plány. Existuje 16 mezinárodních kvalitativních měřítek, která byla stanovena pro hodnocení </w:t>
      </w:r>
      <w:r>
        <w:t>podmínek pro chodce</w:t>
      </w:r>
      <w:r w:rsidRPr="00826F3D">
        <w:t>. Organizace Walk21 vyvíjí mezinárodní nástroj pro audit pěší dopravy, který má v tomto kroku pomoci.</w:t>
      </w:r>
    </w:p>
    <w:p w14:paraId="1497B264" w14:textId="77777777" w:rsidR="0098437B" w:rsidRDefault="0098437B" w:rsidP="0098437B">
      <w:r>
        <w:t>Krok 5:</w:t>
      </w:r>
    </w:p>
    <w:p w14:paraId="1AA36FAF" w14:textId="77777777" w:rsidR="0098437B" w:rsidRDefault="0098437B" w:rsidP="0098437B">
      <w:r>
        <w:t>Prověření zásad</w:t>
      </w:r>
    </w:p>
    <w:p w14:paraId="0B005FC0" w14:textId="77777777" w:rsidR="0098437B" w:rsidRDefault="0098437B" w:rsidP="0098437B">
      <w:r>
        <w:t>Přezkoumejte zásady, normy a předpisy, které umožňují pěší dopravu.</w:t>
      </w:r>
    </w:p>
    <w:p w14:paraId="2865EDB1" w14:textId="77777777" w:rsidR="0098437B" w:rsidRDefault="0098437B" w:rsidP="0098437B">
      <w:r>
        <w:t>Normy pro navrhování ulic, které podporují chůzi, a územní plánování pro smíšené využití pozemků, normy pro parkování a normy pro dělení pozemků musí reagovat na potřeby chodců a v hierarchii dopravy podporovat především chůzi. Organizace Walk21 vyvíjí nástroj pro audit politik, který vám v tomto kroku pomůže.</w:t>
      </w:r>
    </w:p>
    <w:p w14:paraId="695C67D4" w14:textId="77777777" w:rsidR="0098437B" w:rsidRDefault="0098437B" w:rsidP="0098437B">
      <w:r>
        <w:lastRenderedPageBreak/>
        <w:t>Krok 6:</w:t>
      </w:r>
    </w:p>
    <w:p w14:paraId="190829A0" w14:textId="77777777" w:rsidR="0098437B" w:rsidRDefault="0098437B" w:rsidP="0098437B">
      <w:r>
        <w:t>Akční plán</w:t>
      </w:r>
    </w:p>
    <w:p w14:paraId="6931B165" w14:textId="77777777" w:rsidR="0098437B" w:rsidRDefault="0098437B" w:rsidP="0098437B">
      <w:r>
        <w:t>Spojte urbanisty a dopravní plánovače, aby společně vypracovali strategii pěší dopravy.</w:t>
      </w:r>
    </w:p>
    <w:p w14:paraId="326F5A77" w14:textId="77777777" w:rsidR="0098437B" w:rsidRPr="00DF2358" w:rsidRDefault="0098437B" w:rsidP="0098437B">
      <w:r>
        <w:t>Víceoborový institucionální rámec pro plánování a realizaci pěší dopravy, který je ambiciózní a přidává novou hodnotu k současné úrovni služeb, vyžaduje vedení, partnerství, zdroje, závazek k výzkumu a školení a monitorování a hodnocení. Urbanisté a dopravní plánovači mají nejlepší předpoklady k tomu, aby kreativním a experimentálním způsobem zkoumali různé přístupy ke zvyšování schůdnosti. Organizace Walk21 podporuje několik zemí a měst při vytváření účinných národních strategií pěší dopravy a akčních plánů pro pěší města.</w:t>
      </w:r>
    </w:p>
    <w:p w14:paraId="74EE5AD9" w14:textId="77777777" w:rsidR="0098437B" w:rsidRPr="00DE0A6F" w:rsidRDefault="0098437B" w:rsidP="0098437B">
      <w:r w:rsidRPr="00DE0A6F">
        <w:t>Krok 7:</w:t>
      </w:r>
    </w:p>
    <w:p w14:paraId="77202BF1" w14:textId="77777777" w:rsidR="0098437B" w:rsidRPr="00DE0A6F" w:rsidRDefault="0098437B" w:rsidP="0098437B">
      <w:r w:rsidRPr="00DE0A6F">
        <w:t>Dokažte to</w:t>
      </w:r>
    </w:p>
    <w:p w14:paraId="2842B929" w14:textId="77777777" w:rsidR="0098437B" w:rsidRPr="00DE0A6F" w:rsidRDefault="0098437B" w:rsidP="0098437B">
      <w:r w:rsidRPr="00DE0A6F">
        <w:t>Určete charakteristický projekt nebo klíčovou intervenci.</w:t>
      </w:r>
    </w:p>
    <w:p w14:paraId="22C61012" w14:textId="77777777" w:rsidR="0098437B" w:rsidRPr="00DE0A6F" w:rsidRDefault="0098437B" w:rsidP="0098437B">
      <w:r w:rsidRPr="00DE0A6F">
        <w:t xml:space="preserve">Klíčový projekt, např. vytvoření pěší zóny nebo vedení kampaně za změnu chování, může zprostředkovat vizi a inspirovat k akci v celém městě, zvýšit hodnotu chůze a zvýšit zapojení a pochopení významu pěší dopravy. Organizace Walk21 sepsala </w:t>
      </w:r>
      <w:hyperlink w:history="1">
        <w:r w:rsidRPr="00DE0A6F">
          <w:rPr>
            <w:rStyle w:val="Hypertextovodkaz"/>
            <w:b/>
            <w:bCs/>
          </w:rPr>
          <w:t>návod na vedení kampaně na změnu chování v oblasti pěší dopravy</w:t>
        </w:r>
      </w:hyperlink>
      <w:r w:rsidRPr="00DE0A6F">
        <w:t xml:space="preserve"> a identifikovala několik </w:t>
      </w:r>
      <w:hyperlink w:history="1">
        <w:r w:rsidRPr="00DE0A6F">
          <w:rPr>
            <w:rStyle w:val="Hypertextovodkaz"/>
            <w:b/>
            <w:bCs/>
          </w:rPr>
          <w:t>případových studií městských</w:t>
        </w:r>
      </w:hyperlink>
      <w:r w:rsidRPr="00DE0A6F">
        <w:t xml:space="preserve"> inovativních iniciativ v oblasti pěší dopravy, které významně přispěly ke zlepšení schůdnosti měst.</w:t>
      </w:r>
    </w:p>
    <w:p w14:paraId="23634288" w14:textId="77777777" w:rsidR="0098437B" w:rsidRPr="00DE0A6F" w:rsidRDefault="0098437B" w:rsidP="0098437B">
      <w:r w:rsidRPr="00DE0A6F">
        <w:t>Krok 8:</w:t>
      </w:r>
    </w:p>
    <w:p w14:paraId="31FC1387" w14:textId="77777777" w:rsidR="0098437B" w:rsidRPr="00DE0A6F" w:rsidRDefault="0098437B" w:rsidP="0098437B">
      <w:r>
        <w:t>Realizujte</w:t>
      </w:r>
    </w:p>
    <w:p w14:paraId="2E85FDC2" w14:textId="77777777" w:rsidR="0098437B" w:rsidRPr="00DE0A6F" w:rsidRDefault="0098437B" w:rsidP="0098437B">
      <w:r w:rsidRPr="00DE0A6F">
        <w:t>Zajistěte schůdnost obcí tam, kde je to nejvíce potřeba.</w:t>
      </w:r>
    </w:p>
    <w:p w14:paraId="6564BB8A" w14:textId="77777777" w:rsidR="0098437B" w:rsidRPr="00DE0A6F" w:rsidRDefault="0098437B" w:rsidP="0098437B">
      <w:r w:rsidRPr="00DE0A6F">
        <w:t xml:space="preserve">Chodníky jsou základní městskou infrastrukturou, která nejlépe uspokojuje potřeby chodců. Zajistěte alespoň to, aby ve všech ulicích ve čtvrtích, kde lidé žijí, a v okruhu 500 metrů od míst, kudy se chodí nejčastěji, včetně dopravních uzlů, vzdělávacích </w:t>
      </w:r>
      <w:r>
        <w:t>a</w:t>
      </w:r>
      <w:r w:rsidRPr="00DE0A6F">
        <w:t xml:space="preserve"> zdravotnických zařízení, maloobchodních zón, sportovních a volnočasových zařízení a pracovních zón, byly vyhrazené, bezpečné a bezbariérové chodníky.</w:t>
      </w:r>
    </w:p>
    <w:p w14:paraId="418BC239" w14:textId="647B8295" w:rsidR="00B633DB" w:rsidRPr="0098437B" w:rsidRDefault="0098437B" w:rsidP="0098437B">
      <w:hyperlink r:id="rId14" w:history="1">
        <w:r w:rsidRPr="00CC5E29">
          <w:rPr>
            <w:rStyle w:val="Hypertextovodkaz"/>
          </w:rPr>
          <w:t>https://walk21.com/work/training/the-8-steps/</w:t>
        </w:r>
      </w:hyperlink>
    </w:p>
    <w:sectPr w:rsidR="00B633DB" w:rsidRPr="0098437B" w:rsidSect="007669D9">
      <w:headerReference w:type="default" r:id="rId15"/>
      <w:footerReference w:type="default" r:id="rId16"/>
      <w:pgSz w:w="11910" w:h="16840"/>
      <w:pgMar w:top="1740" w:right="880" w:bottom="1340" w:left="920" w:header="850" w:footer="19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DC265" w14:textId="77777777" w:rsidR="00852403" w:rsidRDefault="00852403" w:rsidP="00324ED3">
      <w:r>
        <w:separator/>
      </w:r>
    </w:p>
  </w:endnote>
  <w:endnote w:type="continuationSeparator" w:id="0">
    <w:p w14:paraId="23E27BDF" w14:textId="77777777" w:rsidR="00852403" w:rsidRDefault="00852403" w:rsidP="003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36785" w14:textId="77777777" w:rsidR="00B16083" w:rsidRDefault="007669D9" w:rsidP="00324ED3">
    <w:pPr>
      <w:pStyle w:val="Zkladn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0E2619D6" wp14:editId="66B9CEAD">
              <wp:simplePos x="0" y="0"/>
              <wp:positionH relativeFrom="page">
                <wp:posOffset>5508914</wp:posOffset>
              </wp:positionH>
              <wp:positionV relativeFrom="page">
                <wp:posOffset>10167620</wp:posOffset>
              </wp:positionV>
              <wp:extent cx="1671320" cy="3048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B546" w14:textId="24328621" w:rsidR="00B16083" w:rsidRPr="007669D9" w:rsidRDefault="005C3038" w:rsidP="002D7A8C">
                          <w:pPr>
                            <w:pStyle w:val="Zkladntext"/>
                            <w:jc w:val="right"/>
                            <w:rPr>
                              <w:color w:val="88BD23" w:themeColor="background2"/>
                              <w:sz w:val="27"/>
                              <w:szCs w:val="27"/>
                            </w:rPr>
                          </w:pP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B2E8B">
                            <w:rPr>
                              <w:b/>
                              <w:color w:val="88BD23" w:themeColor="background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t>1</w: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669D9">
                            <w:rPr>
                              <w:b/>
                              <w:color w:val="88BD23" w:themeColor="background2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1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3.75pt;margin-top:800.6pt;width:131.6pt;height:24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Hp1gEAAJEDAAAOAAAAZHJzL2Uyb0RvYy54bWysU9tu2zAMfR+wfxD0vthJh6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" filled="f" stroked="f">
              <v:textbox inset="0,0,0,0">
                <w:txbxContent>
                  <w:p w14:paraId="667BB546" w14:textId="24328621" w:rsidR="00B16083" w:rsidRPr="007669D9" w:rsidRDefault="005C3038" w:rsidP="002D7A8C">
                    <w:pPr>
                      <w:pStyle w:val="Zkladntext"/>
                      <w:jc w:val="right"/>
                      <w:rPr>
                        <w:color w:val="88BD23" w:themeColor="background2"/>
                        <w:sz w:val="27"/>
                        <w:szCs w:val="27"/>
                      </w:rPr>
                    </w:pP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begin"/>
                    </w:r>
                    <w:r w:rsidRPr="002B2E8B">
                      <w:rPr>
                        <w:b/>
                        <w:color w:val="88BD23" w:themeColor="background2"/>
                        <w:sz w:val="22"/>
                        <w:szCs w:val="22"/>
                      </w:rPr>
                      <w:instrText xml:space="preserve"> PAGE </w:instrTex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separate"/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t>1</w: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end"/>
                    </w:r>
                    <w:r w:rsidRPr="007669D9">
                      <w:rPr>
                        <w:b/>
                        <w:color w:val="88BD23" w:themeColor="background2"/>
                        <w:sz w:val="27"/>
                        <w:szCs w:val="2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7303" behindDoc="1" locked="0" layoutInCell="1" allowOverlap="1" wp14:anchorId="013ABBF0" wp14:editId="454887AE">
          <wp:simplePos x="0" y="0"/>
          <wp:positionH relativeFrom="page">
            <wp:posOffset>-21590</wp:posOffset>
          </wp:positionH>
          <wp:positionV relativeFrom="paragraph">
            <wp:posOffset>100512</wp:posOffset>
          </wp:positionV>
          <wp:extent cx="7704455" cy="1369695"/>
          <wp:effectExtent l="0" t="0" r="0" b="1905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ticka_Cyklovize_2023 bez loga Partnerst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03698" w14:textId="77777777" w:rsidR="00852403" w:rsidRDefault="00852403" w:rsidP="00324ED3">
      <w:r>
        <w:separator/>
      </w:r>
    </w:p>
  </w:footnote>
  <w:footnote w:type="continuationSeparator" w:id="0">
    <w:p w14:paraId="1C791346" w14:textId="77777777" w:rsidR="00852403" w:rsidRDefault="00852403" w:rsidP="0032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EB79" w14:textId="77777777" w:rsidR="00B16083" w:rsidRDefault="00314E51" w:rsidP="00324ED3">
    <w:pPr>
      <w:pStyle w:val="Zkladntext"/>
      <w:rPr>
        <w:sz w:val="20"/>
      </w:rPr>
    </w:pPr>
    <w:r w:rsidRPr="00314E51">
      <w:rPr>
        <w:noProof/>
        <w:sz w:val="20"/>
      </w:rPr>
      <w:drawing>
        <wp:anchor distT="0" distB="0" distL="114300" distR="114300" simplePos="0" relativeHeight="503310376" behindDoc="1" locked="0" layoutInCell="1" allowOverlap="1" wp14:anchorId="1BF33758" wp14:editId="5C9EEB41">
          <wp:simplePos x="0" y="0"/>
          <wp:positionH relativeFrom="column">
            <wp:posOffset>2533650</wp:posOffset>
          </wp:positionH>
          <wp:positionV relativeFrom="paragraph">
            <wp:posOffset>-543560</wp:posOffset>
          </wp:positionV>
          <wp:extent cx="4536511" cy="1035349"/>
          <wp:effectExtent l="0" t="0" r="0" b="0"/>
          <wp:wrapNone/>
          <wp:docPr id="27" name="Obrázek 27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511" cy="103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6C04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" w15:restartNumberingAfterBreak="0">
    <w:nsid w:val="05FE1317"/>
    <w:multiLevelType w:val="hybridMultilevel"/>
    <w:tmpl w:val="6C30E0E0"/>
    <w:lvl w:ilvl="0" w:tplc="9A6A79E8">
      <w:start w:val="1"/>
      <w:numFmt w:val="decimal"/>
      <w:lvlText w:val="%1."/>
      <w:lvlJc w:val="left"/>
      <w:pPr>
        <w:ind w:left="520" w:hanging="421"/>
      </w:pPr>
      <w:rPr>
        <w:rFonts w:ascii="Calibri" w:eastAsia="Calibri" w:hAnsi="Calibri" w:cs="Calibri" w:hint="default"/>
        <w:b/>
        <w:bCs/>
        <w:color w:val="00B3F0"/>
        <w:spacing w:val="-4"/>
        <w:w w:val="100"/>
        <w:sz w:val="42"/>
        <w:szCs w:val="42"/>
        <w:lang w:val="cs-CZ" w:eastAsia="cs-CZ" w:bidi="cs-CZ"/>
      </w:rPr>
    </w:lvl>
    <w:lvl w:ilvl="1" w:tplc="3DDEF0CE">
      <w:numFmt w:val="bullet"/>
      <w:lvlText w:val="•"/>
      <w:lvlJc w:val="left"/>
      <w:pPr>
        <w:ind w:left="720" w:hanging="421"/>
      </w:pPr>
      <w:rPr>
        <w:rFonts w:hint="default"/>
        <w:lang w:val="cs-CZ" w:eastAsia="cs-CZ" w:bidi="cs-CZ"/>
      </w:rPr>
    </w:lvl>
    <w:lvl w:ilvl="2" w:tplc="C8BC8972">
      <w:numFmt w:val="bullet"/>
      <w:lvlText w:val="•"/>
      <w:lvlJc w:val="left"/>
      <w:pPr>
        <w:ind w:left="740" w:hanging="421"/>
      </w:pPr>
      <w:rPr>
        <w:rFonts w:hint="default"/>
        <w:lang w:val="cs-CZ" w:eastAsia="cs-CZ" w:bidi="cs-CZ"/>
      </w:rPr>
    </w:lvl>
    <w:lvl w:ilvl="3" w:tplc="7744FB36">
      <w:numFmt w:val="bullet"/>
      <w:lvlText w:val="•"/>
      <w:lvlJc w:val="left"/>
      <w:pPr>
        <w:ind w:left="1910" w:hanging="421"/>
      </w:pPr>
      <w:rPr>
        <w:rFonts w:hint="default"/>
        <w:lang w:val="cs-CZ" w:eastAsia="cs-CZ" w:bidi="cs-CZ"/>
      </w:rPr>
    </w:lvl>
    <w:lvl w:ilvl="4" w:tplc="11403270">
      <w:numFmt w:val="bullet"/>
      <w:lvlText w:val="•"/>
      <w:lvlJc w:val="left"/>
      <w:pPr>
        <w:ind w:left="3081" w:hanging="421"/>
      </w:pPr>
      <w:rPr>
        <w:rFonts w:hint="default"/>
        <w:lang w:val="cs-CZ" w:eastAsia="cs-CZ" w:bidi="cs-CZ"/>
      </w:rPr>
    </w:lvl>
    <w:lvl w:ilvl="5" w:tplc="7D6AE478">
      <w:numFmt w:val="bullet"/>
      <w:lvlText w:val="•"/>
      <w:lvlJc w:val="left"/>
      <w:pPr>
        <w:ind w:left="4252" w:hanging="421"/>
      </w:pPr>
      <w:rPr>
        <w:rFonts w:hint="default"/>
        <w:lang w:val="cs-CZ" w:eastAsia="cs-CZ" w:bidi="cs-CZ"/>
      </w:rPr>
    </w:lvl>
    <w:lvl w:ilvl="6" w:tplc="7B4486D2">
      <w:numFmt w:val="bullet"/>
      <w:lvlText w:val="•"/>
      <w:lvlJc w:val="left"/>
      <w:pPr>
        <w:ind w:left="5422" w:hanging="421"/>
      </w:pPr>
      <w:rPr>
        <w:rFonts w:hint="default"/>
        <w:lang w:val="cs-CZ" w:eastAsia="cs-CZ" w:bidi="cs-CZ"/>
      </w:rPr>
    </w:lvl>
    <w:lvl w:ilvl="7" w:tplc="CB02850A">
      <w:numFmt w:val="bullet"/>
      <w:lvlText w:val="•"/>
      <w:lvlJc w:val="left"/>
      <w:pPr>
        <w:ind w:left="6593" w:hanging="421"/>
      </w:pPr>
      <w:rPr>
        <w:rFonts w:hint="default"/>
        <w:lang w:val="cs-CZ" w:eastAsia="cs-CZ" w:bidi="cs-CZ"/>
      </w:rPr>
    </w:lvl>
    <w:lvl w:ilvl="8" w:tplc="6EECEC20">
      <w:numFmt w:val="bullet"/>
      <w:lvlText w:val="•"/>
      <w:lvlJc w:val="left"/>
      <w:pPr>
        <w:ind w:left="7764" w:hanging="421"/>
      </w:pPr>
      <w:rPr>
        <w:rFonts w:hint="default"/>
        <w:lang w:val="cs-CZ" w:eastAsia="cs-CZ" w:bidi="cs-CZ"/>
      </w:rPr>
    </w:lvl>
  </w:abstractNum>
  <w:abstractNum w:abstractNumId="2" w15:restartNumberingAfterBreak="0">
    <w:nsid w:val="16AA29EE"/>
    <w:multiLevelType w:val="hybridMultilevel"/>
    <w:tmpl w:val="739A5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04C7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7DD0DD1"/>
    <w:multiLevelType w:val="hybridMultilevel"/>
    <w:tmpl w:val="70246E0C"/>
    <w:lvl w:ilvl="0" w:tplc="29CC045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color w:val="414042"/>
        <w:spacing w:val="-3"/>
        <w:w w:val="100"/>
        <w:sz w:val="28"/>
        <w:szCs w:val="28"/>
        <w:lang w:val="cs-CZ" w:eastAsia="cs-CZ" w:bidi="cs-CZ"/>
      </w:rPr>
    </w:lvl>
    <w:lvl w:ilvl="1" w:tplc="42F64546">
      <w:numFmt w:val="bullet"/>
      <w:lvlText w:val="•"/>
      <w:lvlJc w:val="left"/>
      <w:pPr>
        <w:ind w:left="1424" w:hanging="361"/>
      </w:pPr>
      <w:rPr>
        <w:rFonts w:hint="default"/>
        <w:lang w:val="cs-CZ" w:eastAsia="cs-CZ" w:bidi="cs-CZ"/>
      </w:rPr>
    </w:lvl>
    <w:lvl w:ilvl="2" w:tplc="25E8B660">
      <w:numFmt w:val="bullet"/>
      <w:lvlText w:val="•"/>
      <w:lvlJc w:val="left"/>
      <w:pPr>
        <w:ind w:left="2389" w:hanging="361"/>
      </w:pPr>
      <w:rPr>
        <w:rFonts w:hint="default"/>
        <w:lang w:val="cs-CZ" w:eastAsia="cs-CZ" w:bidi="cs-CZ"/>
      </w:rPr>
    </w:lvl>
    <w:lvl w:ilvl="3" w:tplc="3344432C">
      <w:numFmt w:val="bullet"/>
      <w:lvlText w:val="•"/>
      <w:lvlJc w:val="left"/>
      <w:pPr>
        <w:ind w:left="3353" w:hanging="361"/>
      </w:pPr>
      <w:rPr>
        <w:rFonts w:hint="default"/>
        <w:lang w:val="cs-CZ" w:eastAsia="cs-CZ" w:bidi="cs-CZ"/>
      </w:rPr>
    </w:lvl>
    <w:lvl w:ilvl="4" w:tplc="782A4C9C">
      <w:numFmt w:val="bullet"/>
      <w:lvlText w:val="•"/>
      <w:lvlJc w:val="left"/>
      <w:pPr>
        <w:ind w:left="4318" w:hanging="361"/>
      </w:pPr>
      <w:rPr>
        <w:rFonts w:hint="default"/>
        <w:lang w:val="cs-CZ" w:eastAsia="cs-CZ" w:bidi="cs-CZ"/>
      </w:rPr>
    </w:lvl>
    <w:lvl w:ilvl="5" w:tplc="90CE9272">
      <w:numFmt w:val="bullet"/>
      <w:lvlText w:val="•"/>
      <w:lvlJc w:val="left"/>
      <w:pPr>
        <w:ind w:left="5282" w:hanging="361"/>
      </w:pPr>
      <w:rPr>
        <w:rFonts w:hint="default"/>
        <w:lang w:val="cs-CZ" w:eastAsia="cs-CZ" w:bidi="cs-CZ"/>
      </w:rPr>
    </w:lvl>
    <w:lvl w:ilvl="6" w:tplc="B622B0DA">
      <w:numFmt w:val="bullet"/>
      <w:lvlText w:val="•"/>
      <w:lvlJc w:val="left"/>
      <w:pPr>
        <w:ind w:left="6247" w:hanging="361"/>
      </w:pPr>
      <w:rPr>
        <w:rFonts w:hint="default"/>
        <w:lang w:val="cs-CZ" w:eastAsia="cs-CZ" w:bidi="cs-CZ"/>
      </w:rPr>
    </w:lvl>
    <w:lvl w:ilvl="7" w:tplc="2C9826F8">
      <w:numFmt w:val="bullet"/>
      <w:lvlText w:val="•"/>
      <w:lvlJc w:val="left"/>
      <w:pPr>
        <w:ind w:left="7211" w:hanging="361"/>
      </w:pPr>
      <w:rPr>
        <w:rFonts w:hint="default"/>
        <w:lang w:val="cs-CZ" w:eastAsia="cs-CZ" w:bidi="cs-CZ"/>
      </w:rPr>
    </w:lvl>
    <w:lvl w:ilvl="8" w:tplc="6FC2EA00">
      <w:numFmt w:val="bullet"/>
      <w:lvlText w:val="•"/>
      <w:lvlJc w:val="left"/>
      <w:pPr>
        <w:ind w:left="8176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2C237D9D"/>
    <w:multiLevelType w:val="multilevel"/>
    <w:tmpl w:val="4C8630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45B24FF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44D61A2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8" w15:restartNumberingAfterBreak="0">
    <w:nsid w:val="4DC25E8B"/>
    <w:multiLevelType w:val="hybridMultilevel"/>
    <w:tmpl w:val="73028484"/>
    <w:lvl w:ilvl="0" w:tplc="1F685EBA">
      <w:numFmt w:val="bullet"/>
      <w:pStyle w:val="Odstavecseseznamem"/>
      <w:lvlText w:val="•"/>
      <w:lvlJc w:val="left"/>
      <w:pPr>
        <w:ind w:left="820" w:hanging="720"/>
      </w:pPr>
      <w:rPr>
        <w:rFonts w:ascii="Calibri" w:eastAsia="Calibri" w:hAnsi="Calibri" w:cs="Calibri" w:hint="default"/>
        <w:color w:val="414042"/>
        <w:spacing w:val="-5"/>
        <w:w w:val="100"/>
        <w:sz w:val="28"/>
        <w:szCs w:val="28"/>
        <w:lang w:val="cs-CZ" w:eastAsia="cs-CZ" w:bidi="cs-CZ"/>
      </w:rPr>
    </w:lvl>
    <w:lvl w:ilvl="1" w:tplc="0CAC7558">
      <w:numFmt w:val="bullet"/>
      <w:lvlText w:val="•"/>
      <w:lvlJc w:val="left"/>
      <w:pPr>
        <w:ind w:left="1748" w:hanging="720"/>
      </w:pPr>
      <w:rPr>
        <w:rFonts w:hint="default"/>
        <w:lang w:val="cs-CZ" w:eastAsia="cs-CZ" w:bidi="cs-CZ"/>
      </w:rPr>
    </w:lvl>
    <w:lvl w:ilvl="2" w:tplc="117C0CDC">
      <w:numFmt w:val="bullet"/>
      <w:lvlText w:val="•"/>
      <w:lvlJc w:val="left"/>
      <w:pPr>
        <w:ind w:left="2677" w:hanging="720"/>
      </w:pPr>
      <w:rPr>
        <w:rFonts w:hint="default"/>
        <w:lang w:val="cs-CZ" w:eastAsia="cs-CZ" w:bidi="cs-CZ"/>
      </w:rPr>
    </w:lvl>
    <w:lvl w:ilvl="3" w:tplc="A45CEC42">
      <w:numFmt w:val="bullet"/>
      <w:lvlText w:val="•"/>
      <w:lvlJc w:val="left"/>
      <w:pPr>
        <w:ind w:left="3605" w:hanging="720"/>
      </w:pPr>
      <w:rPr>
        <w:rFonts w:hint="default"/>
        <w:lang w:val="cs-CZ" w:eastAsia="cs-CZ" w:bidi="cs-CZ"/>
      </w:rPr>
    </w:lvl>
    <w:lvl w:ilvl="4" w:tplc="558AE334">
      <w:numFmt w:val="bullet"/>
      <w:lvlText w:val="•"/>
      <w:lvlJc w:val="left"/>
      <w:pPr>
        <w:ind w:left="4534" w:hanging="720"/>
      </w:pPr>
      <w:rPr>
        <w:rFonts w:hint="default"/>
        <w:lang w:val="cs-CZ" w:eastAsia="cs-CZ" w:bidi="cs-CZ"/>
      </w:rPr>
    </w:lvl>
    <w:lvl w:ilvl="5" w:tplc="E746F9EE">
      <w:numFmt w:val="bullet"/>
      <w:lvlText w:val="•"/>
      <w:lvlJc w:val="left"/>
      <w:pPr>
        <w:ind w:left="5462" w:hanging="720"/>
      </w:pPr>
      <w:rPr>
        <w:rFonts w:hint="default"/>
        <w:lang w:val="cs-CZ" w:eastAsia="cs-CZ" w:bidi="cs-CZ"/>
      </w:rPr>
    </w:lvl>
    <w:lvl w:ilvl="6" w:tplc="AA5617B6">
      <w:numFmt w:val="bullet"/>
      <w:lvlText w:val="•"/>
      <w:lvlJc w:val="left"/>
      <w:pPr>
        <w:ind w:left="6391" w:hanging="720"/>
      </w:pPr>
      <w:rPr>
        <w:rFonts w:hint="default"/>
        <w:lang w:val="cs-CZ" w:eastAsia="cs-CZ" w:bidi="cs-CZ"/>
      </w:rPr>
    </w:lvl>
    <w:lvl w:ilvl="7" w:tplc="FC086986">
      <w:numFmt w:val="bullet"/>
      <w:lvlText w:val="•"/>
      <w:lvlJc w:val="left"/>
      <w:pPr>
        <w:ind w:left="7319" w:hanging="720"/>
      </w:pPr>
      <w:rPr>
        <w:rFonts w:hint="default"/>
        <w:lang w:val="cs-CZ" w:eastAsia="cs-CZ" w:bidi="cs-CZ"/>
      </w:rPr>
    </w:lvl>
    <w:lvl w:ilvl="8" w:tplc="CDE439F8">
      <w:numFmt w:val="bullet"/>
      <w:lvlText w:val="•"/>
      <w:lvlJc w:val="left"/>
      <w:pPr>
        <w:ind w:left="8248" w:hanging="720"/>
      </w:pPr>
      <w:rPr>
        <w:rFonts w:hint="default"/>
        <w:lang w:val="cs-CZ" w:eastAsia="cs-CZ" w:bidi="cs-CZ"/>
      </w:rPr>
    </w:lvl>
  </w:abstractNum>
  <w:abstractNum w:abstractNumId="9" w15:restartNumberingAfterBreak="0">
    <w:nsid w:val="63044945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0" w15:restartNumberingAfterBreak="0">
    <w:nsid w:val="6F8648B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num w:numId="1" w16cid:durableId="1506479563">
    <w:abstractNumId w:val="1"/>
  </w:num>
  <w:num w:numId="2" w16cid:durableId="862091071">
    <w:abstractNumId w:val="4"/>
  </w:num>
  <w:num w:numId="3" w16cid:durableId="31929978">
    <w:abstractNumId w:val="8"/>
  </w:num>
  <w:num w:numId="4" w16cid:durableId="2028094868">
    <w:abstractNumId w:val="3"/>
  </w:num>
  <w:num w:numId="5" w16cid:durableId="1040670771">
    <w:abstractNumId w:val="10"/>
  </w:num>
  <w:num w:numId="6" w16cid:durableId="1304430123">
    <w:abstractNumId w:val="7"/>
  </w:num>
  <w:num w:numId="7" w16cid:durableId="622007313">
    <w:abstractNumId w:val="1"/>
    <w:lvlOverride w:ilvl="0">
      <w:lvl w:ilvl="0" w:tplc="9A6A79E8">
        <w:start w:val="1"/>
        <w:numFmt w:val="decimal"/>
        <w:lvlText w:val="%1."/>
        <w:lvlJc w:val="left"/>
        <w:pPr>
          <w:ind w:left="520" w:hanging="421"/>
        </w:pPr>
        <w:rPr>
          <w:rFonts w:ascii="Calibri" w:eastAsia="Calibri" w:hAnsi="Calibri" w:cs="Calibri" w:hint="default"/>
          <w:b/>
          <w:bCs/>
          <w:color w:val="00B3F0"/>
          <w:spacing w:val="-4"/>
          <w:w w:val="100"/>
          <w:sz w:val="42"/>
          <w:szCs w:val="42"/>
        </w:rPr>
      </w:lvl>
    </w:lvlOverride>
    <w:lvlOverride w:ilvl="1">
      <w:lvl w:ilvl="1" w:tplc="3DDEF0CE">
        <w:numFmt w:val="bullet"/>
        <w:lvlText w:val="•"/>
        <w:lvlJc w:val="left"/>
        <w:pPr>
          <w:ind w:left="720" w:hanging="421"/>
        </w:pPr>
        <w:rPr>
          <w:rFonts w:hint="default"/>
        </w:rPr>
      </w:lvl>
    </w:lvlOverride>
    <w:lvlOverride w:ilvl="2">
      <w:lvl w:ilvl="2" w:tplc="C8BC8972">
        <w:numFmt w:val="bullet"/>
        <w:lvlText w:val="•"/>
        <w:lvlJc w:val="left"/>
        <w:pPr>
          <w:ind w:left="740" w:hanging="421"/>
        </w:pPr>
        <w:rPr>
          <w:rFonts w:hint="default"/>
        </w:rPr>
      </w:lvl>
    </w:lvlOverride>
    <w:lvlOverride w:ilvl="3">
      <w:lvl w:ilvl="3" w:tplc="7744FB36">
        <w:numFmt w:val="bullet"/>
        <w:lvlText w:val="•"/>
        <w:lvlJc w:val="left"/>
        <w:pPr>
          <w:ind w:left="1910" w:hanging="421"/>
        </w:pPr>
        <w:rPr>
          <w:rFonts w:hint="default"/>
        </w:rPr>
      </w:lvl>
    </w:lvlOverride>
    <w:lvlOverride w:ilvl="4">
      <w:lvl w:ilvl="4" w:tplc="11403270">
        <w:numFmt w:val="bullet"/>
        <w:lvlText w:val="•"/>
        <w:lvlJc w:val="left"/>
        <w:pPr>
          <w:ind w:left="3081" w:hanging="421"/>
        </w:pPr>
        <w:rPr>
          <w:rFonts w:hint="default"/>
        </w:rPr>
      </w:lvl>
    </w:lvlOverride>
    <w:lvlOverride w:ilvl="5">
      <w:lvl w:ilvl="5" w:tplc="7D6AE478">
        <w:numFmt w:val="bullet"/>
        <w:lvlText w:val="•"/>
        <w:lvlJc w:val="left"/>
        <w:pPr>
          <w:ind w:left="4252" w:hanging="421"/>
        </w:pPr>
        <w:rPr>
          <w:rFonts w:hint="default"/>
        </w:rPr>
      </w:lvl>
    </w:lvlOverride>
    <w:lvlOverride w:ilvl="6">
      <w:lvl w:ilvl="6" w:tplc="7B4486D2">
        <w:numFmt w:val="bullet"/>
        <w:lvlText w:val="•"/>
        <w:lvlJc w:val="left"/>
        <w:pPr>
          <w:ind w:left="5422" w:hanging="421"/>
        </w:pPr>
        <w:rPr>
          <w:rFonts w:hint="default"/>
        </w:rPr>
      </w:lvl>
    </w:lvlOverride>
    <w:lvlOverride w:ilvl="7">
      <w:lvl w:ilvl="7" w:tplc="CB02850A">
        <w:numFmt w:val="bullet"/>
        <w:lvlText w:val="•"/>
        <w:lvlJc w:val="left"/>
        <w:pPr>
          <w:ind w:left="6593" w:hanging="421"/>
        </w:pPr>
        <w:rPr>
          <w:rFonts w:hint="default"/>
        </w:rPr>
      </w:lvl>
    </w:lvlOverride>
    <w:lvlOverride w:ilvl="8">
      <w:lvl w:ilvl="8" w:tplc="6EECEC20">
        <w:numFmt w:val="bullet"/>
        <w:lvlText w:val="•"/>
        <w:lvlJc w:val="left"/>
        <w:pPr>
          <w:ind w:left="7764" w:hanging="421"/>
        </w:pPr>
        <w:rPr>
          <w:rFonts w:hint="default"/>
        </w:rPr>
      </w:lvl>
    </w:lvlOverride>
  </w:num>
  <w:num w:numId="8" w16cid:durableId="1629701832">
    <w:abstractNumId w:val="6"/>
  </w:num>
  <w:num w:numId="9" w16cid:durableId="348607067">
    <w:abstractNumId w:val="9"/>
  </w:num>
  <w:num w:numId="10" w16cid:durableId="2051688838">
    <w:abstractNumId w:val="0"/>
  </w:num>
  <w:num w:numId="11" w16cid:durableId="1358848050">
    <w:abstractNumId w:val="5"/>
  </w:num>
  <w:num w:numId="12" w16cid:durableId="642849423">
    <w:abstractNumId w:val="5"/>
  </w:num>
  <w:num w:numId="13" w16cid:durableId="1177887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DM0tzAwNzI1NrFQ0lEKTi0uzszPAykwrAUA/+cqQiwAAAA="/>
  </w:docVars>
  <w:rsids>
    <w:rsidRoot w:val="00B16083"/>
    <w:rsid w:val="000D33D1"/>
    <w:rsid w:val="000E3ADE"/>
    <w:rsid w:val="002776AD"/>
    <w:rsid w:val="002B2E8B"/>
    <w:rsid w:val="002D6CFB"/>
    <w:rsid w:val="002D7A8C"/>
    <w:rsid w:val="00314E51"/>
    <w:rsid w:val="00324ED3"/>
    <w:rsid w:val="003D4BFB"/>
    <w:rsid w:val="00441478"/>
    <w:rsid w:val="0057627A"/>
    <w:rsid w:val="0058739A"/>
    <w:rsid w:val="005C3038"/>
    <w:rsid w:val="00630CB6"/>
    <w:rsid w:val="00656899"/>
    <w:rsid w:val="00691211"/>
    <w:rsid w:val="007437DB"/>
    <w:rsid w:val="007669D9"/>
    <w:rsid w:val="008447FF"/>
    <w:rsid w:val="00852403"/>
    <w:rsid w:val="008B1623"/>
    <w:rsid w:val="008B7260"/>
    <w:rsid w:val="008C536C"/>
    <w:rsid w:val="008E4273"/>
    <w:rsid w:val="0098437B"/>
    <w:rsid w:val="009E4A64"/>
    <w:rsid w:val="00A55793"/>
    <w:rsid w:val="00A55EE6"/>
    <w:rsid w:val="00A77424"/>
    <w:rsid w:val="00AD2A7B"/>
    <w:rsid w:val="00AF7C97"/>
    <w:rsid w:val="00B16083"/>
    <w:rsid w:val="00B633DB"/>
    <w:rsid w:val="00C23823"/>
    <w:rsid w:val="00D330E8"/>
    <w:rsid w:val="00EC794F"/>
    <w:rsid w:val="00F1079A"/>
    <w:rsid w:val="00F12837"/>
    <w:rsid w:val="00F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0970"/>
  <w15:docId w15:val="{3D348CFC-5286-4B3B-BCD9-B4F3E01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ED3"/>
    <w:pPr>
      <w:spacing w:before="60" w:after="60"/>
      <w:jc w:val="both"/>
    </w:pPr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adpis1">
    <w:name w:val="heading 1"/>
    <w:basedOn w:val="Normln"/>
    <w:uiPriority w:val="9"/>
    <w:qFormat/>
    <w:rsid w:val="007669D9"/>
    <w:pPr>
      <w:keepNext/>
      <w:numPr>
        <w:numId w:val="11"/>
      </w:numPr>
      <w:tabs>
        <w:tab w:val="left" w:pos="521"/>
      </w:tabs>
      <w:spacing w:before="360" w:after="160"/>
      <w:outlineLvl w:val="0"/>
    </w:pPr>
    <w:rPr>
      <w:b/>
      <w:bCs/>
      <w:color w:val="00A0E3" w:themeColor="accent2"/>
      <w:sz w:val="42"/>
      <w:szCs w:val="42"/>
    </w:rPr>
  </w:style>
  <w:style w:type="paragraph" w:styleId="Nadpis2">
    <w:name w:val="heading 2"/>
    <w:basedOn w:val="Normln"/>
    <w:link w:val="Nadpis2Char"/>
    <w:uiPriority w:val="9"/>
    <w:unhideWhenUsed/>
    <w:qFormat/>
    <w:rsid w:val="008B1623"/>
    <w:pPr>
      <w:keepNext/>
      <w:numPr>
        <w:ilvl w:val="1"/>
        <w:numId w:val="11"/>
      </w:numPr>
      <w:spacing w:before="240" w:after="120"/>
      <w:outlineLvl w:val="1"/>
    </w:pPr>
    <w:rPr>
      <w:b/>
      <w:bCs/>
      <w:color w:val="84BD00"/>
      <w:sz w:val="36"/>
      <w:szCs w:val="36"/>
    </w:rPr>
  </w:style>
  <w:style w:type="paragraph" w:styleId="Nadpis3">
    <w:name w:val="heading 3"/>
    <w:basedOn w:val="Normln"/>
    <w:uiPriority w:val="9"/>
    <w:unhideWhenUsed/>
    <w:qFormat/>
    <w:rsid w:val="007669D9"/>
    <w:pPr>
      <w:keepNext/>
      <w:numPr>
        <w:ilvl w:val="2"/>
        <w:numId w:val="11"/>
      </w:numPr>
      <w:outlineLvl w:val="2"/>
    </w:pPr>
    <w:rPr>
      <w:b/>
      <w:bCs/>
      <w:color w:val="004F9F" w:themeColor="text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D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6F1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D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B26F1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D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76490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D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490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D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D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F12837"/>
    <w:pPr>
      <w:spacing w:before="76"/>
      <w:ind w:left="357" w:hanging="357"/>
    </w:pPr>
  </w:style>
  <w:style w:type="paragraph" w:styleId="Zkladntext">
    <w:name w:val="Body Text"/>
    <w:basedOn w:val="Normln"/>
    <w:uiPriority w:val="1"/>
    <w:qFormat/>
    <w:rsid w:val="00324ED3"/>
  </w:style>
  <w:style w:type="paragraph" w:styleId="Odstavecseseznamem">
    <w:name w:val="List Paragraph"/>
    <w:basedOn w:val="Normln"/>
    <w:uiPriority w:val="1"/>
    <w:qFormat/>
    <w:rsid w:val="00AD2A7B"/>
    <w:pPr>
      <w:numPr>
        <w:numId w:val="3"/>
      </w:numPr>
      <w:tabs>
        <w:tab w:val="left" w:pos="820"/>
        <w:tab w:val="left" w:pos="821"/>
      </w:tabs>
      <w:spacing w:line="336" w:lineRule="exact"/>
    </w:pPr>
  </w:style>
  <w:style w:type="paragraph" w:customStyle="1" w:styleId="TableParagraph">
    <w:name w:val="Table Paragraph"/>
    <w:basedOn w:val="Normln"/>
    <w:uiPriority w:val="1"/>
    <w:qFormat/>
    <w:pPr>
      <w:spacing w:line="300" w:lineRule="exact"/>
      <w:ind w:left="22"/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rsid w:val="008B1623"/>
    <w:rPr>
      <w:rFonts w:ascii="Calibri" w:eastAsia="Calibri" w:hAnsi="Calibri" w:cs="Calibri"/>
      <w:b/>
      <w:bCs/>
      <w:color w:val="84BD00"/>
      <w:sz w:val="36"/>
      <w:szCs w:val="36"/>
      <w:lang w:val="cs-CZ"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D3"/>
    <w:rPr>
      <w:rFonts w:asciiTheme="majorHAnsi" w:eastAsiaTheme="majorEastAsia" w:hAnsiTheme="majorHAnsi" w:cstheme="majorBidi"/>
      <w:i/>
      <w:iCs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D3"/>
    <w:rPr>
      <w:rFonts w:asciiTheme="majorHAnsi" w:eastAsiaTheme="majorEastAsia" w:hAnsiTheme="majorHAnsi" w:cstheme="majorBidi"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D3"/>
    <w:rPr>
      <w:rFonts w:asciiTheme="majorHAnsi" w:eastAsiaTheme="majorEastAsia" w:hAnsiTheme="majorHAnsi" w:cstheme="majorBidi"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D3"/>
    <w:rPr>
      <w:rFonts w:asciiTheme="majorHAnsi" w:eastAsiaTheme="majorEastAsia" w:hAnsiTheme="majorHAnsi" w:cstheme="majorBidi"/>
      <w:i/>
      <w:iCs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12837"/>
    <w:pPr>
      <w:numPr>
        <w:numId w:val="0"/>
      </w:numPr>
    </w:pPr>
  </w:style>
  <w:style w:type="paragraph" w:styleId="Obsah3">
    <w:name w:val="toc 3"/>
    <w:basedOn w:val="Normln"/>
    <w:next w:val="Normln"/>
    <w:autoRedefine/>
    <w:uiPriority w:val="39"/>
    <w:unhideWhenUsed/>
    <w:rsid w:val="00324ED3"/>
    <w:pPr>
      <w:spacing w:after="100"/>
      <w:ind w:left="560"/>
    </w:pPr>
  </w:style>
  <w:style w:type="paragraph" w:styleId="Obsah2">
    <w:name w:val="toc 2"/>
    <w:basedOn w:val="Normln"/>
    <w:next w:val="Normln"/>
    <w:autoRedefine/>
    <w:uiPriority w:val="39"/>
    <w:unhideWhenUsed/>
    <w:rsid w:val="00324ED3"/>
    <w:pPr>
      <w:spacing w:after="100"/>
      <w:ind w:left="280"/>
    </w:pPr>
  </w:style>
  <w:style w:type="character" w:styleId="Hypertextovodkaz">
    <w:name w:val="Hyperlink"/>
    <w:basedOn w:val="Standardnpsmoodstavce"/>
    <w:uiPriority w:val="99"/>
    <w:unhideWhenUsed/>
    <w:rsid w:val="00324ED3"/>
    <w:rPr>
      <w:color w:val="22ABE3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55793"/>
    <w:pPr>
      <w:spacing w:before="0" w:after="200"/>
    </w:pPr>
  </w:style>
  <w:style w:type="paragraph" w:styleId="Zhlav">
    <w:name w:val="header"/>
    <w:basedOn w:val="Normln"/>
    <w:link w:val="Zhlav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k21.com/resources/international-charter-for-walking/" TargetMode="External"/><Relationship Id="rId13" Type="http://schemas.openxmlformats.org/officeDocument/2006/relationships/hyperlink" Target="https://walk21.com/tool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alk21.com/projects/small-steps-forwar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lk21.com/resources/tool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alk21.com/resources/measuring-walking" TargetMode="External"/><Relationship Id="rId14" Type="http://schemas.openxmlformats.org/officeDocument/2006/relationships/hyperlink" Target="https://walk21.com/work/training/the-8-step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PM">
      <a:dk1>
        <a:sysClr val="windowText" lastClr="000000"/>
      </a:dk1>
      <a:lt1>
        <a:sysClr val="window" lastClr="FFFFFF"/>
      </a:lt1>
      <a:dk2>
        <a:srgbClr val="004F9F"/>
      </a:dk2>
      <a:lt2>
        <a:srgbClr val="88BD23"/>
      </a:lt2>
      <a:accent1>
        <a:srgbClr val="E49328"/>
      </a:accent1>
      <a:accent2>
        <a:srgbClr val="00A0E3"/>
      </a:accent2>
      <a:accent3>
        <a:srgbClr val="DFFABB"/>
      </a:accent3>
      <a:accent4>
        <a:srgbClr val="D9F3FE"/>
      </a:accent4>
      <a:accent5>
        <a:srgbClr val="A5A5A5"/>
      </a:accent5>
      <a:accent6>
        <a:srgbClr val="B8E840"/>
      </a:accent6>
      <a:hlink>
        <a:srgbClr val="22ABE3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82E80C19-479B-4177-B8CE-8045F12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857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Eva Štěrbová</cp:lastModifiedBy>
  <cp:revision>3</cp:revision>
  <dcterms:created xsi:type="dcterms:W3CDTF">2024-11-04T07:09:00Z</dcterms:created>
  <dcterms:modified xsi:type="dcterms:W3CDTF">2024-11-04T07:16:00Z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2019-05-24T00:00:00Z</vt:filetime>
  </property>
</Properties>
</file>