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D3DAD" w14:textId="77777777" w:rsidR="00543CF8" w:rsidRDefault="00543CF8" w:rsidP="0011367D">
      <w:pPr>
        <w:pStyle w:val="Nadpis1"/>
        <w:numPr>
          <w:ilvl w:val="0"/>
          <w:numId w:val="0"/>
        </w:numPr>
        <w:ind w:left="432" w:hanging="432"/>
      </w:pPr>
      <w:r>
        <w:t>Naplňujeme potřeby lidí, kteří chodí pěšky</w:t>
      </w:r>
    </w:p>
    <w:p w14:paraId="4F23F8AD" w14:textId="77777777" w:rsidR="00543CF8" w:rsidRDefault="00543CF8" w:rsidP="00543CF8">
      <w:r>
        <w:t>"Budeme podporovat přístup všech lidí k bezpečné, cenově dostupné, přístupné, věk i gender zohledňující a udržitelné městské mobilitě a systémům pozemní a námořní dopravy, které každému umožní smysluplnou účast na sociálních a ekonomických aktivitách ve městech a obcích, a to začleněním plánů dopravy a mobility do celkových městských a územních plánů a podporou široké škály možností dopravy a mobility, především pak podporou:</w:t>
      </w:r>
    </w:p>
    <w:p w14:paraId="3207F517" w14:textId="77777777" w:rsidR="00543CF8" w:rsidRDefault="00543CF8" w:rsidP="00543CF8">
      <w:r>
        <w:t>(a) výrazného posílení přístupné, bezpečné, účinné, cenově dostupné a udržitelné infrastruktury pro veřejnou dopravu, jakož i bezmotorové možnosti, jako je chůze a jízda na kole, a jejich upřednostňování před individuální motorovou dopravou“.</w:t>
      </w:r>
    </w:p>
    <w:p w14:paraId="765250F0" w14:textId="77777777" w:rsidR="00543CF8" w:rsidRDefault="00543CF8" w:rsidP="00543CF8">
      <w:r>
        <w:t>Nová městská agenda č. 11 a)</w:t>
      </w:r>
    </w:p>
    <w:p w14:paraId="4EF8025E" w14:textId="77777777" w:rsidR="00543CF8" w:rsidRPr="0011367D" w:rsidRDefault="00543CF8" w:rsidP="00543CF8">
      <w:pPr>
        <w:rPr>
          <w:b/>
          <w:bCs/>
        </w:rPr>
      </w:pPr>
      <w:r w:rsidRPr="0011367D">
        <w:rPr>
          <w:b/>
          <w:bCs/>
        </w:rPr>
        <w:t xml:space="preserve">1. Proč se zaměřit na potřeby lidí, kteří chodí pěšky? </w:t>
      </w:r>
    </w:p>
    <w:p w14:paraId="1B7FC1AB" w14:textId="77777777" w:rsidR="00543CF8" w:rsidRDefault="00543CF8" w:rsidP="00543CF8">
      <w:r>
        <w:t xml:space="preserve">Všechny naše cesty začínají a končí chůzí a mnohé z nich jsou pouze pěší. Chůze je základem způsobu, jakým se pohybujeme, a je </w:t>
      </w:r>
      <w:r w:rsidRPr="0011367D">
        <w:rPr>
          <w:b/>
          <w:bCs/>
        </w:rPr>
        <w:t>základní složkou integrovaného, multimodálního a intermodálního dopravního systému</w:t>
      </w:r>
      <w:r>
        <w:t>, který umožňuje přístup ke službám v místních čtvrtích a ke službám veřejné dopravy pro vzdálenější cíle.</w:t>
      </w:r>
    </w:p>
    <w:p w14:paraId="0F3577B8" w14:textId="77777777" w:rsidR="00543CF8" w:rsidRDefault="00543CF8" w:rsidP="00543CF8">
      <w:r>
        <w:t xml:space="preserve">Pěší doprava je </w:t>
      </w:r>
      <w:r w:rsidRPr="0011367D">
        <w:rPr>
          <w:b/>
          <w:bCs/>
        </w:rPr>
        <w:t>základním pilířem udržitelného města</w:t>
      </w:r>
      <w:r>
        <w:t xml:space="preserve">, které je prostorově efektivní a snižuje intenzitu dopravních zácp, znečištění ovzduší a hluku i spotřebu uhlíku. Je </w:t>
      </w:r>
      <w:proofErr w:type="gramStart"/>
      <w:r>
        <w:t>to</w:t>
      </w:r>
      <w:proofErr w:type="gramEnd"/>
      <w:r>
        <w:t xml:space="preserve"> jak utilitární způsob dopravy pro cesty do práce, do školy nebo za nákupy, tak i zdravotní a rekreační aktivita. Je to sociálně spravedlivý způsob dopravy, který je dostupný pro naprostou většinu obyvatelstva, a to bez ohledu na třídu, pohlaví a věk.</w:t>
      </w:r>
    </w:p>
    <w:p w14:paraId="113E82F9" w14:textId="60E3511E" w:rsidR="00543CF8" w:rsidRDefault="00543CF8" w:rsidP="00543CF8">
      <w:r>
        <w:t xml:space="preserve">Chůze je nejdostupnější a cenově nejvýhodnější způsob pohybu. Chůze podporuje duševní a fyzické zdraví a Světová zdravotnická organizace ji uznává jako </w:t>
      </w:r>
      <w:r w:rsidRPr="0011367D">
        <w:rPr>
          <w:b/>
          <w:bCs/>
        </w:rPr>
        <w:t>zásadní příspěvek k potřebám fyzické aktivity jednotlivce</w:t>
      </w:r>
      <w:r>
        <w:t xml:space="preserve">. Lidé, kteří žijí v takových čtvrtích, kde se dobře chodí pěšky, mají vyšší úroveň </w:t>
      </w:r>
      <w:r w:rsidRPr="0011367D">
        <w:rPr>
          <w:b/>
          <w:bCs/>
        </w:rPr>
        <w:t>„sociálního kapitálu“</w:t>
      </w:r>
      <w:r>
        <w:t xml:space="preserve"> a je u nich větší </w:t>
      </w:r>
      <w:r w:rsidRPr="0011367D">
        <w:rPr>
          <w:b/>
          <w:bCs/>
        </w:rPr>
        <w:t>pravděpodobnost, že budou znát své sousedy, účastnit se politického života a být sociálně angažovaní.</w:t>
      </w:r>
    </w:p>
    <w:p w14:paraId="2633359E" w14:textId="77777777" w:rsidR="00543CF8" w:rsidRDefault="00543CF8" w:rsidP="00543CF8">
      <w:r>
        <w:t xml:space="preserve">Přesto chůze často nebývá předmětem měření, není oceňována a není jí věnována náležitá pozornost. Zejména v mnoha chudších komunitách, kde je chůze hlavním způsobem dopravy, chybí chodníky a bezpečná infrastruktura. Právě chudí, děti a starší lidé jsou neúměrně postiženi životem v prostředí orientovaném na automobilovou dopravu, protože jsou nejvíce závislí na jiných formách dopravy. Nedostatek bezpečné pěší infrastruktury má </w:t>
      </w:r>
      <w:r w:rsidRPr="0011367D">
        <w:rPr>
          <w:b/>
          <w:bCs/>
        </w:rPr>
        <w:t>za následek více než 250 000 úmrtí chodců v silničním provozu ročně</w:t>
      </w:r>
      <w:r>
        <w:t>, zejména v zemích s nízkými a středními příjmy.</w:t>
      </w:r>
    </w:p>
    <w:p w14:paraId="159CB9DB" w14:textId="0BABD1E1" w:rsidR="00543CF8" w:rsidRDefault="00543CF8" w:rsidP="00543CF8">
      <w:r>
        <w:lastRenderedPageBreak/>
        <w:t>Pokud jsou potřeby chodců plně pochopeny a je jim věnována odpovídající politika, investice a priorita, prospívá to efektivitě, účinnosti a finanční životaschopnosti celého dopravního systému, atraktivitě života ve městech a zdraví obyvatel.</w:t>
      </w:r>
    </w:p>
    <w:p w14:paraId="08E38AEF" w14:textId="1C07DE97" w:rsidR="00B212A6" w:rsidRDefault="00B212A6" w:rsidP="00B212A6">
      <w:pPr>
        <w:jc w:val="center"/>
      </w:pPr>
      <w:r>
        <w:rPr>
          <w:noProof/>
        </w:rPr>
        <w:drawing>
          <wp:inline distT="0" distB="0" distL="0" distR="0" wp14:anchorId="74F30275" wp14:editId="05B0DB90">
            <wp:extent cx="3349097" cy="2842260"/>
            <wp:effectExtent l="0" t="0" r="3810" b="0"/>
            <wp:docPr id="1977292129" name="Obrázek 2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292129" name="Obrázek 2" descr="Obsah obrázku text, snímek obrazovky, Písmo, řada/pruh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374" cy="284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2B6AA" w14:textId="77777777" w:rsidR="00543CF8" w:rsidRDefault="00543CF8" w:rsidP="00B212A6">
      <w:pPr>
        <w:jc w:val="center"/>
      </w:pPr>
      <w:r>
        <w:t xml:space="preserve">Obrázek: Hierarchie potřeb chodců (zdroj ITDP </w:t>
      </w:r>
      <w:proofErr w:type="spellStart"/>
      <w:r>
        <w:t>Pedestrians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2018)</w:t>
      </w:r>
    </w:p>
    <w:p w14:paraId="70D684D6" w14:textId="77777777" w:rsidR="00B212A6" w:rsidRDefault="00B212A6" w:rsidP="00543CF8"/>
    <w:p w14:paraId="6F7662C2" w14:textId="77777777" w:rsidR="00543CF8" w:rsidRPr="0011367D" w:rsidRDefault="00543CF8" w:rsidP="00543CF8">
      <w:pPr>
        <w:rPr>
          <w:b/>
          <w:bCs/>
        </w:rPr>
      </w:pPr>
      <w:r w:rsidRPr="0011367D">
        <w:rPr>
          <w:b/>
          <w:bCs/>
        </w:rPr>
        <w:t>2. Co to vlastně je – město pro chodce?</w:t>
      </w:r>
    </w:p>
    <w:p w14:paraId="2BB7A5DD" w14:textId="599F6061" w:rsidR="00543CF8" w:rsidRDefault="00543CF8" w:rsidP="00543CF8">
      <w:r>
        <w:t xml:space="preserve">Město pro chodce je navrženo nebo upraveno tak, aby se chůze stala součástí městské struktury a aby se pěší doprava stala každodenní volbou. V takové komunitě je chůze považována za běžnou volbu způsobu dopravy, který </w:t>
      </w:r>
      <w:r w:rsidRPr="0011367D">
        <w:rPr>
          <w:b/>
          <w:bCs/>
        </w:rPr>
        <w:t>spojuje lidi</w:t>
      </w:r>
      <w:r>
        <w:t xml:space="preserve"> s jejich cíli a dalšími způsoby cestování. Je to také prostředí, kde </w:t>
      </w:r>
      <w:r w:rsidRPr="0011367D">
        <w:rPr>
          <w:b/>
          <w:bCs/>
        </w:rPr>
        <w:t>lidé chodící pěšky mají přednost před pohybem motorových vozidel</w:t>
      </w:r>
      <w:r>
        <w:t>.</w:t>
      </w:r>
    </w:p>
    <w:p w14:paraId="3F62CCA7" w14:textId="77777777" w:rsidR="00543CF8" w:rsidRDefault="00543CF8" w:rsidP="00543CF8">
      <w:r w:rsidRPr="0011367D">
        <w:rPr>
          <w:b/>
          <w:bCs/>
        </w:rPr>
        <w:t>Schůdnost města</w:t>
      </w:r>
      <w:r>
        <w:t xml:space="preserve"> vzniká tehdy, když zastavěné prostředí podporuje a podněcuje chůzi, protože zajišťuje pohodlí a bezpečnost chodců a spojuje lidi s různými cíli v přiměřeném čase a vynaloženém úsilí. (</w:t>
      </w:r>
      <w:proofErr w:type="spellStart"/>
      <w:r>
        <w:t>Southworth</w:t>
      </w:r>
      <w:proofErr w:type="spellEnd"/>
      <w:r>
        <w:t xml:space="preserve"> M.,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Urban </w:t>
      </w:r>
      <w:proofErr w:type="spellStart"/>
      <w:r>
        <w:t>Planning</w:t>
      </w:r>
      <w:proofErr w:type="spellEnd"/>
      <w:r>
        <w:t xml:space="preserve"> and Development, prosinec 2005).</w:t>
      </w:r>
    </w:p>
    <w:p w14:paraId="4C51F371" w14:textId="77777777" w:rsidR="00543CF8" w:rsidRDefault="00543CF8" w:rsidP="00543CF8">
      <w:r>
        <w:t xml:space="preserve">Klíčovými ukazateli města vhodného pro chůzi jsou </w:t>
      </w:r>
      <w:r w:rsidRPr="0011367D">
        <w:rPr>
          <w:b/>
          <w:bCs/>
        </w:rPr>
        <w:t>hustota osídlení, propojení a cíle</w:t>
      </w:r>
      <w:r>
        <w:t xml:space="preserve"> (včetně zastávek dopravy) v docházkové vzdálenosti. Na úrovni ulic to znamená kvalitní (</w:t>
      </w:r>
      <w:r w:rsidRPr="0011367D">
        <w:rPr>
          <w:b/>
          <w:bCs/>
        </w:rPr>
        <w:t>široké, přehledné, souvislé) chodníky</w:t>
      </w:r>
      <w:r>
        <w:t xml:space="preserve">/okrajové komunikace, </w:t>
      </w:r>
      <w:r w:rsidRPr="0011367D">
        <w:rPr>
          <w:b/>
          <w:bCs/>
        </w:rPr>
        <w:t>bezpečné přechody pro chodce, uliční mobiliář a terénní úpravy, zpomalení motorové dopravy a řízené parkování, přednostní přístup ke službám veřejné dopravy a prostor pro veřejný život a komunitní aktivity.</w:t>
      </w:r>
    </w:p>
    <w:p w14:paraId="7EF5088B" w14:textId="77777777" w:rsidR="00543CF8" w:rsidRDefault="00543CF8" w:rsidP="00543CF8">
      <w:r>
        <w:t xml:space="preserve">Prostředí s vysokou mírou schůdnosti umožňuje lidem bez ohledu na věk, pohlaví nebo </w:t>
      </w:r>
      <w:r>
        <w:lastRenderedPageBreak/>
        <w:t xml:space="preserve">stupeň mobility samostatný a příjemný pohyb po městě. Ačkoli ne všechny formy měst/předměstí chůzi umožňují (nízká hustota, jednoúčelové uspořádání pozemků, městské dálnice), je </w:t>
      </w:r>
      <w:r w:rsidRPr="0011367D">
        <w:rPr>
          <w:b/>
          <w:bCs/>
        </w:rPr>
        <w:t>nezbytné identifikovat příležitosti ke zlepšování podmínek pro chůzi</w:t>
      </w:r>
      <w:r>
        <w:t xml:space="preserve"> tam, kde lidé chodí nejčastěji, např. v nákupních ulicích, a zajistit chodcům bezpečný přístup do všech čtvrtí a ke klíčovým cílům, např. školám, a upřednostnit pěší spojení se službami veřejné dopravy pro delší cesty.</w:t>
      </w:r>
    </w:p>
    <w:p w14:paraId="719BB474" w14:textId="77777777" w:rsidR="00B212A6" w:rsidRDefault="00B212A6" w:rsidP="00543CF8"/>
    <w:p w14:paraId="131BE33D" w14:textId="77777777" w:rsidR="00B212A6" w:rsidRDefault="00B212A6" w:rsidP="00B212A6">
      <w:pPr>
        <w:pStyle w:val="Odstavecseseznamem"/>
        <w:numPr>
          <w:ilvl w:val="0"/>
          <w:numId w:val="13"/>
        </w:numPr>
        <w:spacing w:before="360" w:line="48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8FFD2D" wp14:editId="0BF04F5D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3215919" cy="2644369"/>
            <wp:effectExtent l="0" t="0" r="3810" b="3810"/>
            <wp:wrapTight wrapText="bothSides">
              <wp:wrapPolygon edited="0">
                <wp:start x="0" y="0"/>
                <wp:lineTo x="0" y="21476"/>
                <wp:lineTo x="21498" y="21476"/>
                <wp:lineTo x="21498" y="0"/>
                <wp:lineTo x="0" y="0"/>
              </wp:wrapPolygon>
            </wp:wrapTight>
            <wp:docPr id="1759010732" name="Obrázek 2" descr="Obsah obrázku design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010732" name="Obrázek 2" descr="Obsah obrázku design, ilustrace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919" cy="2644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Pěší doprava</w:t>
      </w:r>
    </w:p>
    <w:p w14:paraId="2FE948DE" w14:textId="77777777" w:rsidR="00B212A6" w:rsidRDefault="00B212A6" w:rsidP="00B212A6">
      <w:pPr>
        <w:pStyle w:val="Odstavecseseznamem"/>
        <w:numPr>
          <w:ilvl w:val="0"/>
          <w:numId w:val="13"/>
        </w:numPr>
        <w:spacing w:before="360" w:line="480" w:lineRule="auto"/>
      </w:pPr>
      <w:r>
        <w:t>Cyklisté a přestupní doprava</w:t>
      </w:r>
    </w:p>
    <w:p w14:paraId="239D3ED9" w14:textId="77777777" w:rsidR="00B212A6" w:rsidRDefault="00B212A6" w:rsidP="00B212A6">
      <w:pPr>
        <w:pStyle w:val="Odstavecseseznamem"/>
        <w:numPr>
          <w:ilvl w:val="0"/>
          <w:numId w:val="13"/>
        </w:numPr>
        <w:spacing w:before="120" w:line="360" w:lineRule="auto"/>
        <w:ind w:left="714" w:hanging="357"/>
      </w:pPr>
      <w:r w:rsidRPr="009620F3">
        <w:t>Lidé zabývají</w:t>
      </w:r>
      <w:r>
        <w:t>cí se</w:t>
      </w:r>
      <w:r w:rsidRPr="009620F3">
        <w:t xml:space="preserve"> podnikáním a poskytováním městských služeb.</w:t>
      </w:r>
    </w:p>
    <w:p w14:paraId="6280C845" w14:textId="77777777" w:rsidR="00B212A6" w:rsidRPr="00245351" w:rsidRDefault="00B212A6" w:rsidP="00B212A6">
      <w:pPr>
        <w:pStyle w:val="Odstavecseseznamem"/>
        <w:numPr>
          <w:ilvl w:val="0"/>
          <w:numId w:val="13"/>
        </w:numPr>
        <w:spacing w:before="360" w:line="600" w:lineRule="auto"/>
        <w:ind w:left="714" w:hanging="357"/>
      </w:pPr>
      <w:r>
        <w:t>Lidé v osobní automobilové dopravě</w:t>
      </w:r>
    </w:p>
    <w:p w14:paraId="1955BC2D" w14:textId="440812C7" w:rsidR="00543CF8" w:rsidRDefault="00543CF8" w:rsidP="00543CF8">
      <w:r>
        <w:t xml:space="preserve">Obr: Globální příručka pro navrhování </w:t>
      </w:r>
      <w:proofErr w:type="gramStart"/>
      <w:r>
        <w:t>ulic</w:t>
      </w:r>
      <w:r w:rsidR="0011367D">
        <w:t xml:space="preserve"> </w:t>
      </w:r>
      <w:r>
        <w:t>- Hierarchie</w:t>
      </w:r>
      <w:proofErr w:type="gramEnd"/>
      <w:r>
        <w:t xml:space="preserve"> dopravy</w:t>
      </w:r>
    </w:p>
    <w:p w14:paraId="671C7A72" w14:textId="77777777" w:rsidR="00B212A6" w:rsidRDefault="00B212A6" w:rsidP="00543CF8"/>
    <w:p w14:paraId="0920D19C" w14:textId="7D66AD8A" w:rsidR="00543CF8" w:rsidRPr="0011367D" w:rsidRDefault="00543CF8" w:rsidP="00543CF8">
      <w:pPr>
        <w:rPr>
          <w:b/>
          <w:bCs/>
        </w:rPr>
      </w:pPr>
      <w:r w:rsidRPr="0011367D">
        <w:rPr>
          <w:b/>
          <w:bCs/>
        </w:rPr>
        <w:t>3. Jak vytvořit město vhodné pro chůzi</w:t>
      </w:r>
    </w:p>
    <w:p w14:paraId="4B15F72F" w14:textId="04C527D3" w:rsidR="00543CF8" w:rsidRDefault="00543CF8" w:rsidP="00543CF8">
      <w:r>
        <w:t xml:space="preserve">Úspěšné přístupy se budou lišit podle kultury, místa a velikosti města. Nicméně ke kvalitě schůdnosti ve většině měst a příměstských oblastí přispívá několik atributů a komplexní přístup a závazek místních úřadů může zajistit větší počet pěších komunit. Tento závazek a přístup je </w:t>
      </w:r>
      <w:r w:rsidRPr="0011367D">
        <w:rPr>
          <w:b/>
          <w:bCs/>
        </w:rPr>
        <w:t>stanoven v Mezinárodní chartě pěší dopravy</w:t>
      </w:r>
      <w:r>
        <w:t xml:space="preserve"> a je znázorněn na níže uvedeném schématu komplexního systému pěší dopravy.</w:t>
      </w:r>
    </w:p>
    <w:p w14:paraId="24B891AE" w14:textId="77777777" w:rsidR="00543CF8" w:rsidRDefault="00543CF8" w:rsidP="00543CF8">
      <w:r>
        <w:t>Klíčové kroky k úspěchu zahrnují:</w:t>
      </w:r>
    </w:p>
    <w:p w14:paraId="57B97E40" w14:textId="77777777" w:rsidR="00543CF8" w:rsidRDefault="00543CF8" w:rsidP="00543CF8">
      <w:r>
        <w:t xml:space="preserve">1. Zvyšování inkluzivní mobility </w:t>
      </w:r>
    </w:p>
    <w:p w14:paraId="022D4661" w14:textId="77777777" w:rsidR="00543CF8" w:rsidRDefault="00543CF8" w:rsidP="00543CF8">
      <w:r>
        <w:t xml:space="preserve">2. Dobře navržené a spravované prostory a místa pro lidi </w:t>
      </w:r>
    </w:p>
    <w:p w14:paraId="1DF1A4A6" w14:textId="77777777" w:rsidR="00543CF8" w:rsidRDefault="00543CF8" w:rsidP="00543CF8">
      <w:r>
        <w:t xml:space="preserve">3. Lepší integrace sítí </w:t>
      </w:r>
    </w:p>
    <w:p w14:paraId="5A462AA1" w14:textId="77777777" w:rsidR="00543CF8" w:rsidRDefault="00543CF8" w:rsidP="00543CF8">
      <w:r>
        <w:t xml:space="preserve">4. Podpůrné územní a prostorové plánování </w:t>
      </w:r>
    </w:p>
    <w:p w14:paraId="50DE476A" w14:textId="77777777" w:rsidR="00543CF8" w:rsidRDefault="00543CF8" w:rsidP="00543CF8">
      <w:r>
        <w:t>5. Snížení rizika na silnicích</w:t>
      </w:r>
    </w:p>
    <w:p w14:paraId="7A66A10B" w14:textId="77777777" w:rsidR="00543CF8" w:rsidRDefault="00543CF8" w:rsidP="00543CF8">
      <w:r>
        <w:t xml:space="preserve">6. Menší kriminalita a strach z kriminality </w:t>
      </w:r>
    </w:p>
    <w:p w14:paraId="4E3D26A5" w14:textId="77777777" w:rsidR="00543CF8" w:rsidRDefault="00543CF8" w:rsidP="00543CF8">
      <w:r>
        <w:lastRenderedPageBreak/>
        <w:t xml:space="preserve">7. Podpůrnější úřady </w:t>
      </w:r>
    </w:p>
    <w:p w14:paraId="1B006754" w14:textId="77777777" w:rsidR="00543CF8" w:rsidRDefault="00543CF8" w:rsidP="00543CF8">
      <w:r>
        <w:t>8. Kultura chůze.</w:t>
      </w:r>
    </w:p>
    <w:p w14:paraId="343BB9DF" w14:textId="77777777" w:rsidR="00B212A6" w:rsidRDefault="00B212A6" w:rsidP="00543CF8"/>
    <w:p w14:paraId="4E141A01" w14:textId="74366EC1" w:rsidR="00B212A6" w:rsidRDefault="00B212A6" w:rsidP="00543CF8">
      <w:r>
        <w:rPr>
          <w:noProof/>
        </w:rPr>
        <w:drawing>
          <wp:inline distT="0" distB="0" distL="0" distR="0" wp14:anchorId="6743CC82" wp14:editId="66EF4ED9">
            <wp:extent cx="5120640" cy="4880529"/>
            <wp:effectExtent l="0" t="0" r="3810" b="0"/>
            <wp:docPr id="1731064571" name="Obrázek 3" descr="Obsah obrázku text, kruh, kompaktní disk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64571" name="Obrázek 3" descr="Obsah obrázku text, kruh, kompaktní disk, Písmo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765" cy="488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8BDC1" w14:textId="77777777" w:rsidR="00543CF8" w:rsidRDefault="00543CF8" w:rsidP="00543CF8">
      <w:r>
        <w:t>Obr: Komplexní systém chůze (Příručka WHO o bezpečnosti chodců pro rozhodovací orgány a odborníky z praxe)</w:t>
      </w:r>
    </w:p>
    <w:p w14:paraId="791FDEA4" w14:textId="77777777" w:rsidR="00543CF8" w:rsidRDefault="00543CF8" w:rsidP="0098437B">
      <w:pPr>
        <w:rPr>
          <w:b/>
          <w:bCs/>
        </w:rPr>
      </w:pPr>
    </w:p>
    <w:p w14:paraId="2D4A173F" w14:textId="709E0482" w:rsidR="0098437B" w:rsidRPr="002D13F5" w:rsidRDefault="0098437B" w:rsidP="0098437B">
      <w:pPr>
        <w:rPr>
          <w:b/>
          <w:bCs/>
        </w:rPr>
      </w:pPr>
      <w:r w:rsidRPr="002D13F5">
        <w:rPr>
          <w:b/>
          <w:bCs/>
        </w:rPr>
        <w:t>8 kroků</w:t>
      </w:r>
    </w:p>
    <w:p w14:paraId="0E6A97B8" w14:textId="77777777" w:rsidR="0098437B" w:rsidRDefault="0098437B" w:rsidP="0098437B">
      <w:r>
        <w:t>8 kroků, kterými může vedení města docílit toho, aby jejich město bylo vhodné pro chodce.</w:t>
      </w:r>
    </w:p>
    <w:p w14:paraId="2A4B1A6E" w14:textId="77777777" w:rsidR="0098437B" w:rsidRDefault="0098437B" w:rsidP="0098437B">
      <w:r>
        <w:t xml:space="preserve">Walk21 poskytuje školení, které městu pomůže tyto kroky realizovat; jednotlivé kroky jsou ilustrovány mezinárodními příklady z jiných měst. Stručně řečeno, vedení musí představit vizi města, kde chůze a obyvatelnost mají svou hodnotu; zavázat se k dodržování principů, podle nichž jsou chodci na prvním místě; zadat výzkum chování chodců a současných </w:t>
      </w:r>
      <w:r>
        <w:lastRenderedPageBreak/>
        <w:t>podmínek pro chůzi; podporovat účast veřejnosti na plánování a veřejném životě; revidovat politiky, normy a předpisy; a podporovat mezioborovou spolupráci při naplňování vize.</w:t>
      </w:r>
    </w:p>
    <w:p w14:paraId="1E41A45C" w14:textId="77777777" w:rsidR="0098437B" w:rsidRPr="00E82B6C" w:rsidRDefault="0098437B" w:rsidP="0098437B">
      <w:pPr>
        <w:rPr>
          <w:b/>
          <w:bCs/>
        </w:rPr>
      </w:pPr>
      <w:r w:rsidRPr="00E82B6C">
        <w:rPr>
          <w:b/>
          <w:bCs/>
        </w:rPr>
        <w:t>Příručka pro starosty, kteří chtějí vytvořit města vhodná pro pěší dopravu</w:t>
      </w:r>
    </w:p>
    <w:p w14:paraId="574B3251" w14:textId="77777777" w:rsidR="0098437B" w:rsidRDefault="0098437B" w:rsidP="0098437B">
      <w:r>
        <w:t>Walk21 poskytuje semináře a školení na podporu starostů při realizaci procesu 8 kroků.</w:t>
      </w:r>
    </w:p>
    <w:p w14:paraId="7AD61F8B" w14:textId="77777777" w:rsidR="0098437B" w:rsidRPr="00D12307" w:rsidRDefault="0098437B" w:rsidP="0098437B">
      <w:r>
        <w:t xml:space="preserve">Tato podpora se již osvědčila v následujících oblastech: </w:t>
      </w:r>
      <w:proofErr w:type="spellStart"/>
      <w:r>
        <w:t>Conception</w:t>
      </w:r>
      <w:proofErr w:type="spellEnd"/>
      <w:r>
        <w:t xml:space="preserve"> v Chile, </w:t>
      </w:r>
      <w:proofErr w:type="spellStart"/>
      <w:r>
        <w:t>Medellín</w:t>
      </w:r>
      <w:proofErr w:type="spellEnd"/>
      <w:r>
        <w:t xml:space="preserve"> v Kolumbii, Dháka v Bangladéši, Manila na Filipínách, Manchester ve Velké Británii, Nairobi v Keni, Kampala v Ugandě a Rotterdam v Nizozemsku.</w:t>
      </w:r>
    </w:p>
    <w:p w14:paraId="03851AB3" w14:textId="77777777" w:rsidR="0098437B" w:rsidRPr="00245351" w:rsidRDefault="0098437B" w:rsidP="0098437B">
      <w:r w:rsidRPr="00245351">
        <w:t>Krok 1:</w:t>
      </w:r>
    </w:p>
    <w:p w14:paraId="245DFA9A" w14:textId="77777777" w:rsidR="0098437B" w:rsidRPr="00245351" w:rsidRDefault="0098437B" w:rsidP="0098437B">
      <w:r w:rsidRPr="00245351">
        <w:t>Zavažte se, že zlepšíte</w:t>
      </w:r>
      <w:r>
        <w:t xml:space="preserve"> podmínky pro</w:t>
      </w:r>
      <w:r w:rsidRPr="00245351">
        <w:t xml:space="preserve"> chůzi</w:t>
      </w:r>
    </w:p>
    <w:p w14:paraId="4463BAEA" w14:textId="77777777" w:rsidR="0098437B" w:rsidRPr="00245351" w:rsidRDefault="0098437B" w:rsidP="0098437B">
      <w:hyperlink r:id="rId11" w:history="1">
        <w:r w:rsidRPr="00245351">
          <w:rPr>
            <w:rStyle w:val="Hypertextovodkaz"/>
            <w:b/>
            <w:bCs/>
          </w:rPr>
          <w:t xml:space="preserve">Podepište Mezinárodní chartu </w:t>
        </w:r>
        <w:r>
          <w:rPr>
            <w:rStyle w:val="Hypertextovodkaz"/>
            <w:b/>
            <w:bCs/>
          </w:rPr>
          <w:t>pro pěší dopravu</w:t>
        </w:r>
        <w:r w:rsidRPr="00245351">
          <w:rPr>
            <w:rStyle w:val="Hypertextovodkaz"/>
            <w:b/>
            <w:bCs/>
          </w:rPr>
          <w:t>.</w:t>
        </w:r>
      </w:hyperlink>
    </w:p>
    <w:p w14:paraId="41067C19" w14:textId="77777777" w:rsidR="0098437B" w:rsidRPr="00245351" w:rsidRDefault="0098437B" w:rsidP="0098437B">
      <w:r w:rsidRPr="00245351">
        <w:t>Mezinárodní charta pro pěší dopravu je společným politickým odkazem s 8 klíčovými zásadami a 34 názornými opatřeními, které vypracovali odborníci z více než 35 zemí. Podepsalo ji už přes 5 000 politiků, akademiků, odborníků a vedoucích představitelů komunit a je viditelným závazkem k naplňování potřeb lidí, kteří chodí pěšky.</w:t>
      </w:r>
    </w:p>
    <w:p w14:paraId="30D3A3CC" w14:textId="77777777" w:rsidR="0098437B" w:rsidRPr="00245351" w:rsidRDefault="0098437B" w:rsidP="0098437B">
      <w:r w:rsidRPr="00245351">
        <w:t>Krok 2:</w:t>
      </w:r>
    </w:p>
    <w:p w14:paraId="423FA559" w14:textId="77777777" w:rsidR="0098437B" w:rsidRPr="00245351" w:rsidRDefault="0098437B" w:rsidP="0098437B">
      <w:r w:rsidRPr="00245351">
        <w:t>Poznejte chování chodců</w:t>
      </w:r>
    </w:p>
    <w:p w14:paraId="1EB711D0" w14:textId="77777777" w:rsidR="0098437B" w:rsidRPr="00245351" w:rsidRDefault="0098437B" w:rsidP="0098437B">
      <w:r w:rsidRPr="00245351">
        <w:t>Zadejte výzkum chování pěších, abyste porozuměli stávající pěší aktivitě.</w:t>
      </w:r>
    </w:p>
    <w:p w14:paraId="7033212A" w14:textId="77777777" w:rsidR="0098437B" w:rsidRDefault="0098437B" w:rsidP="0098437B">
      <w:r w:rsidRPr="00245351">
        <w:t xml:space="preserve">Posouzením chování lidí, kteří chodí pěšky, a </w:t>
      </w:r>
      <w:hyperlink r:id="rId12" w:history="1">
        <w:r w:rsidRPr="00245351">
          <w:rPr>
            <w:rStyle w:val="Hypertextovodkaz"/>
            <w:b/>
            <w:bCs/>
          </w:rPr>
          <w:t>měřením pěší</w:t>
        </w:r>
      </w:hyperlink>
      <w:r w:rsidRPr="00245351">
        <w:t xml:space="preserve"> aktivity ve městě, v rozmanitém městském prostředí a mezi různými sociálními skupinami lze pochopit účinnost různých faktorů návrhu při podpoře chůze. Kritéria schůdnosti mohou být upřesněna a testována. </w:t>
      </w:r>
      <w:r w:rsidRPr="00245351">
        <w:rPr>
          <w:b/>
          <w:bCs/>
        </w:rPr>
        <w:t xml:space="preserve">Mezinárodní datový standard pro pěší </w:t>
      </w:r>
      <w:r>
        <w:rPr>
          <w:b/>
          <w:bCs/>
        </w:rPr>
        <w:t>dopravu</w:t>
      </w:r>
      <w:r w:rsidRPr="00245351">
        <w:t xml:space="preserve"> umožňuje jednotně měřit poptávku po pěší dopravě.</w:t>
      </w:r>
    </w:p>
    <w:p w14:paraId="748C48D5" w14:textId="3F7E18D8" w:rsidR="0098437B" w:rsidRPr="00826F3D" w:rsidRDefault="0098437B" w:rsidP="0098437B">
      <w:r w:rsidRPr="00826F3D">
        <w:t>Krok 3:</w:t>
      </w:r>
    </w:p>
    <w:p w14:paraId="44D307E4" w14:textId="77777777" w:rsidR="0098437B" w:rsidRPr="00826F3D" w:rsidRDefault="0098437B" w:rsidP="0098437B">
      <w:r w:rsidRPr="00826F3D">
        <w:t>Identifikujte potenciály</w:t>
      </w:r>
    </w:p>
    <w:p w14:paraId="6EE2A10C" w14:textId="77777777" w:rsidR="0098437B" w:rsidRPr="00826F3D" w:rsidRDefault="0098437B" w:rsidP="0098437B">
      <w:r w:rsidRPr="00826F3D">
        <w:t>Zapojte veřejnost prostřednictvím účasti na plánovacím procesu a aktivitách města.</w:t>
      </w:r>
    </w:p>
    <w:p w14:paraId="074946CB" w14:textId="77777777" w:rsidR="0098437B" w:rsidRPr="00826F3D" w:rsidRDefault="0098437B" w:rsidP="0098437B">
      <w:r w:rsidRPr="00826F3D">
        <w:t xml:space="preserve">Zapojte místní komunity do mapování jejich potřeb, aby bylo možné následně reagovat cílenými zásahy na příslušných místech s vhodnými opatřeními ve prospěch těch, kdo je nejvíce potřebují. Zapojení veřejnosti je pro úspěch klíčové. Je možné pořádat městské akce zaměřené na prožitek chůze. Naše </w:t>
      </w:r>
      <w:hyperlink r:id="rId13" w:history="1">
        <w:r w:rsidRPr="00826F3D">
          <w:rPr>
            <w:rStyle w:val="Hypertextovodkaz"/>
            <w:b/>
            <w:bCs/>
          </w:rPr>
          <w:t>nástroje</w:t>
        </w:r>
      </w:hyperlink>
      <w:r w:rsidRPr="00826F3D">
        <w:t xml:space="preserve"> umožňují veřejnosti sdílet své zkušenosti s chůzí, takže problémové oblasti ve městě jsou viditelné podle věku, </w:t>
      </w:r>
      <w:r>
        <w:t>kondice</w:t>
      </w:r>
      <w:r w:rsidRPr="00826F3D">
        <w:t xml:space="preserve"> a pohlaví. Náš nástroj STRIDE </w:t>
      </w:r>
      <w:r>
        <w:t xml:space="preserve">jsme například použili </w:t>
      </w:r>
      <w:r w:rsidRPr="00826F3D">
        <w:t xml:space="preserve">ve </w:t>
      </w:r>
      <w:hyperlink r:id="rId14" w:history="1">
        <w:r w:rsidRPr="00826F3D">
          <w:rPr>
            <w:rStyle w:val="Hypertextovodkaz"/>
            <w:b/>
            <w:bCs/>
          </w:rPr>
          <w:t xml:space="preserve">městě </w:t>
        </w:r>
        <w:proofErr w:type="spellStart"/>
        <w:r w:rsidRPr="00826F3D">
          <w:rPr>
            <w:rStyle w:val="Hypertextovodkaz"/>
            <w:b/>
            <w:bCs/>
          </w:rPr>
          <w:t>Medellín</w:t>
        </w:r>
        <w:proofErr w:type="spellEnd"/>
        <w:r w:rsidRPr="00826F3D">
          <w:rPr>
            <w:rStyle w:val="Hypertextovodkaz"/>
            <w:b/>
            <w:bCs/>
          </w:rPr>
          <w:t xml:space="preserve"> ve spolupráci s </w:t>
        </w:r>
        <w:proofErr w:type="spellStart"/>
        <w:r w:rsidRPr="00826F3D">
          <w:rPr>
            <w:rStyle w:val="Hypertextovodkaz"/>
            <w:b/>
            <w:bCs/>
          </w:rPr>
          <w:t>FundaPeatón</w:t>
        </w:r>
        <w:proofErr w:type="spellEnd"/>
      </w:hyperlink>
      <w:r w:rsidRPr="00826F3D">
        <w:t xml:space="preserve">, abychom zapojili místní školáky. Tento nástroj byl dále rozpracován do </w:t>
      </w:r>
      <w:hyperlink r:id="rId15" w:anchor="walkability.app" w:history="1">
        <w:r w:rsidRPr="00826F3D">
          <w:rPr>
            <w:rStyle w:val="Hypertextovodkaz"/>
            <w:b/>
            <w:bCs/>
          </w:rPr>
          <w:t xml:space="preserve">aplikace </w:t>
        </w:r>
        <w:proofErr w:type="spellStart"/>
        <w:r w:rsidRPr="00826F3D">
          <w:rPr>
            <w:rStyle w:val="Hypertextovodkaz"/>
            <w:b/>
            <w:bCs/>
          </w:rPr>
          <w:t>Walkability.app</w:t>
        </w:r>
        <w:proofErr w:type="spellEnd"/>
        <w:r w:rsidRPr="00826F3D">
          <w:rPr>
            <w:rStyle w:val="Hypertextovodkaz"/>
            <w:b/>
            <w:bCs/>
          </w:rPr>
          <w:t>.</w:t>
        </w:r>
      </w:hyperlink>
    </w:p>
    <w:p w14:paraId="212D8FEC" w14:textId="77777777" w:rsidR="0098437B" w:rsidRPr="00826F3D" w:rsidRDefault="0098437B" w:rsidP="0098437B">
      <w:r w:rsidRPr="00826F3D">
        <w:lastRenderedPageBreak/>
        <w:t>Krok 4:</w:t>
      </w:r>
    </w:p>
    <w:p w14:paraId="6BF710B9" w14:textId="77777777" w:rsidR="0098437B" w:rsidRPr="00826F3D" w:rsidRDefault="0098437B" w:rsidP="0098437B">
      <w:r w:rsidRPr="00826F3D">
        <w:t>Identifikujte nedostatky</w:t>
      </w:r>
    </w:p>
    <w:p w14:paraId="004967B2" w14:textId="77777777" w:rsidR="0098437B" w:rsidRPr="00826F3D" w:rsidRDefault="0098437B" w:rsidP="0098437B">
      <w:r w:rsidRPr="00826F3D">
        <w:t>Zadejte posouzení současné schůdnosti.</w:t>
      </w:r>
    </w:p>
    <w:p w14:paraId="1B1BCD17" w14:textId="77777777" w:rsidR="0098437B" w:rsidRPr="00826F3D" w:rsidRDefault="0098437B" w:rsidP="0098437B">
      <w:r w:rsidRPr="00826F3D">
        <w:t xml:space="preserve">Je důležité porozumět podmínkám v každé městské části a poté vypracovat politiky a plány pro celkové prostředí pro chodce. Stanovení indexu pěšího potenciálu a indexu nedostatků může být užitečné pro vyhodnocení každého úseku ulice ve městě. Indexy odhalují vzorce potenciálu a potřeb, které lze využít pro nové politiky a plány. Existuje 16 mezinárodních kvalitativních měřítek, která byla stanovena pro hodnocení </w:t>
      </w:r>
      <w:r>
        <w:t>podmínek pro chodce</w:t>
      </w:r>
      <w:r w:rsidRPr="00826F3D">
        <w:t>. Organizace Walk21 vyvíjí mezinárodní nástroj pro audit pěší dopravy, který má v tomto kroku pomoci.</w:t>
      </w:r>
    </w:p>
    <w:p w14:paraId="1497B264" w14:textId="77777777" w:rsidR="0098437B" w:rsidRDefault="0098437B" w:rsidP="0098437B">
      <w:r>
        <w:t>Krok 5:</w:t>
      </w:r>
    </w:p>
    <w:p w14:paraId="1AA36FAF" w14:textId="77777777" w:rsidR="0098437B" w:rsidRDefault="0098437B" w:rsidP="0098437B">
      <w:r>
        <w:t>Prověření zásad</w:t>
      </w:r>
    </w:p>
    <w:p w14:paraId="0B005FC0" w14:textId="77777777" w:rsidR="0098437B" w:rsidRDefault="0098437B" w:rsidP="0098437B">
      <w:r>
        <w:t>Přezkoumejte zásady, normy a předpisy, které umožňují pěší dopravu.</w:t>
      </w:r>
    </w:p>
    <w:p w14:paraId="2865EDB1" w14:textId="77777777" w:rsidR="0098437B" w:rsidRDefault="0098437B" w:rsidP="0098437B">
      <w:r>
        <w:t>Normy pro navrhování ulic, které podporují chůzi, a územní plánování pro smíšené využití pozemků, normy pro parkování a normy pro dělení pozemků musí reagovat na potřeby chodců a v hierarchii dopravy podporovat především chůzi. Organizace Walk21 vyvíjí nástroj pro audit politik, který vám v tomto kroku pomůže.</w:t>
      </w:r>
    </w:p>
    <w:p w14:paraId="695C67D4" w14:textId="77777777" w:rsidR="0098437B" w:rsidRDefault="0098437B" w:rsidP="0098437B">
      <w:r>
        <w:t>Krok 6:</w:t>
      </w:r>
    </w:p>
    <w:p w14:paraId="190829A0" w14:textId="77777777" w:rsidR="0098437B" w:rsidRDefault="0098437B" w:rsidP="0098437B">
      <w:r>
        <w:t>Akční plán</w:t>
      </w:r>
    </w:p>
    <w:p w14:paraId="6931B165" w14:textId="77777777" w:rsidR="0098437B" w:rsidRDefault="0098437B" w:rsidP="0098437B">
      <w:r>
        <w:t>Spojte urbanisty a dopravní plánovače, aby společně vypracovali strategii pěší dopravy.</w:t>
      </w:r>
    </w:p>
    <w:p w14:paraId="326F5A77" w14:textId="77777777" w:rsidR="0098437B" w:rsidRPr="00DF2358" w:rsidRDefault="0098437B" w:rsidP="0098437B">
      <w:r>
        <w:t>Víceoborový institucionální rámec pro plánování a realizaci pěší dopravy, který je ambiciózní a přidává novou hodnotu k současné úrovni služeb, vyžaduje vedení, partnerství, zdroje, závazek k výzkumu a školení a monitorování a hodnocení. Urbanisté a dopravní plánovači mají nejlepší předpoklady k tomu, aby kreativním a experimentálním způsobem zkoumali různé přístupy ke zvyšování schůdnosti. Organizace Walk21 podporuje několik zemí a měst při vytváření účinných národních strategií pěší dopravy a akčních plánů pro pěší města.</w:t>
      </w:r>
    </w:p>
    <w:p w14:paraId="74EE5AD9" w14:textId="77777777" w:rsidR="0098437B" w:rsidRPr="00DE0A6F" w:rsidRDefault="0098437B" w:rsidP="0098437B">
      <w:r w:rsidRPr="00DE0A6F">
        <w:t>Krok 7:</w:t>
      </w:r>
    </w:p>
    <w:p w14:paraId="77202BF1" w14:textId="77777777" w:rsidR="0098437B" w:rsidRPr="00DE0A6F" w:rsidRDefault="0098437B" w:rsidP="0098437B">
      <w:r w:rsidRPr="00DE0A6F">
        <w:t>Dokažte to</w:t>
      </w:r>
    </w:p>
    <w:p w14:paraId="2842B929" w14:textId="77777777" w:rsidR="0098437B" w:rsidRPr="00DE0A6F" w:rsidRDefault="0098437B" w:rsidP="0098437B">
      <w:r w:rsidRPr="00DE0A6F">
        <w:t>Určete charakteristický projekt nebo klíčovou intervenci.</w:t>
      </w:r>
    </w:p>
    <w:p w14:paraId="22C61012" w14:textId="77777777" w:rsidR="0098437B" w:rsidRPr="00DE0A6F" w:rsidRDefault="0098437B" w:rsidP="0098437B">
      <w:r w:rsidRPr="00DE0A6F">
        <w:t xml:space="preserve">Klíčový projekt, např. vytvoření pěší zóny nebo vedení kampaně za změnu chování, může zprostředkovat vizi a inspirovat k akci v celém městě, zvýšit hodnotu chůze a zvýšit zapojení a pochopení významu pěší dopravy. Organizace Walk21 sepsala </w:t>
      </w:r>
      <w:hyperlink w:history="1">
        <w:r w:rsidRPr="00DE0A6F">
          <w:rPr>
            <w:rStyle w:val="Hypertextovodkaz"/>
            <w:b/>
            <w:bCs/>
          </w:rPr>
          <w:t>návod na vedení kampaně na změnu chování v oblasti pěší dopravy</w:t>
        </w:r>
      </w:hyperlink>
      <w:r w:rsidRPr="00DE0A6F">
        <w:t xml:space="preserve"> a identifikovala několik </w:t>
      </w:r>
      <w:hyperlink w:history="1">
        <w:r w:rsidRPr="00DE0A6F">
          <w:rPr>
            <w:rStyle w:val="Hypertextovodkaz"/>
            <w:b/>
            <w:bCs/>
          </w:rPr>
          <w:t xml:space="preserve">případových </w:t>
        </w:r>
        <w:r w:rsidRPr="00DE0A6F">
          <w:rPr>
            <w:rStyle w:val="Hypertextovodkaz"/>
            <w:b/>
            <w:bCs/>
          </w:rPr>
          <w:lastRenderedPageBreak/>
          <w:t>studií městských</w:t>
        </w:r>
      </w:hyperlink>
      <w:r w:rsidRPr="00DE0A6F">
        <w:t xml:space="preserve"> inovativních iniciativ v oblasti pěší dopravy, které významně přispěly ke zlepšení schůdnosti měst.</w:t>
      </w:r>
    </w:p>
    <w:p w14:paraId="23634288" w14:textId="77777777" w:rsidR="0098437B" w:rsidRPr="00DE0A6F" w:rsidRDefault="0098437B" w:rsidP="0098437B">
      <w:r w:rsidRPr="00DE0A6F">
        <w:t>Krok 8:</w:t>
      </w:r>
    </w:p>
    <w:p w14:paraId="31FC1387" w14:textId="77777777" w:rsidR="0098437B" w:rsidRPr="00DE0A6F" w:rsidRDefault="0098437B" w:rsidP="0098437B">
      <w:r>
        <w:t>Realizujte</w:t>
      </w:r>
    </w:p>
    <w:p w14:paraId="2E85FDC2" w14:textId="77777777" w:rsidR="0098437B" w:rsidRPr="00DE0A6F" w:rsidRDefault="0098437B" w:rsidP="0098437B">
      <w:r w:rsidRPr="00DE0A6F">
        <w:t>Zajistěte schůdnost obcí tam, kde je to nejvíce potřeba.</w:t>
      </w:r>
    </w:p>
    <w:p w14:paraId="6564BB8A" w14:textId="77777777" w:rsidR="0098437B" w:rsidRPr="00DE0A6F" w:rsidRDefault="0098437B" w:rsidP="0098437B">
      <w:r w:rsidRPr="00DE0A6F">
        <w:t xml:space="preserve">Chodníky jsou základní městskou infrastrukturou, která nejlépe uspokojuje potřeby chodců. Zajistěte alespoň to, aby ve všech ulicích ve čtvrtích, kde lidé žijí, a v okruhu 500 metrů od míst, kudy se chodí nejčastěji, včetně dopravních uzlů, vzdělávacích </w:t>
      </w:r>
      <w:r>
        <w:t>a</w:t>
      </w:r>
      <w:r w:rsidRPr="00DE0A6F">
        <w:t xml:space="preserve"> zdravotnických zařízení, maloobchodních zón, sportovních a volnočasových zařízení a pracovních zón, byly vyhrazené, bezpečné a bezbariérové chodníky.</w:t>
      </w:r>
    </w:p>
    <w:p w14:paraId="418BC239" w14:textId="647B8295" w:rsidR="00B633DB" w:rsidRDefault="0098437B" w:rsidP="0098437B">
      <w:pPr>
        <w:rPr>
          <w:rStyle w:val="Hypertextovodkaz"/>
        </w:rPr>
      </w:pPr>
      <w:hyperlink r:id="rId16" w:history="1">
        <w:r w:rsidRPr="00CC5E29">
          <w:rPr>
            <w:rStyle w:val="Hypertextovodkaz"/>
          </w:rPr>
          <w:t>https://walk21.com/work/training/the-8-steps/</w:t>
        </w:r>
      </w:hyperlink>
    </w:p>
    <w:p w14:paraId="6B030812" w14:textId="77777777" w:rsidR="00B212A6" w:rsidRDefault="00B212A6" w:rsidP="0098437B">
      <w:pPr>
        <w:rPr>
          <w:rStyle w:val="Hypertextovodkaz"/>
        </w:rPr>
      </w:pPr>
    </w:p>
    <w:p w14:paraId="7E0E02B7" w14:textId="47FE91D2" w:rsidR="00B212A6" w:rsidRDefault="00B212A6" w:rsidP="0098437B">
      <w:r>
        <w:rPr>
          <w:noProof/>
        </w:rPr>
        <w:drawing>
          <wp:inline distT="0" distB="0" distL="0" distR="0" wp14:anchorId="0C2CFCE2" wp14:editId="5E61BF28">
            <wp:extent cx="6419850" cy="2949575"/>
            <wp:effectExtent l="0" t="0" r="0" b="3175"/>
            <wp:docPr id="1458999802" name="Obrázek 4" descr="Obsah obrázku text, snímek obrazovky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999802" name="Obrázek 4" descr="Obsah obrázku text, snímek obrazovky, Písmo, design&#10;&#10;Popis byl vytvořen automaticky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1F36B" w14:textId="7287CA1D" w:rsidR="00B212A6" w:rsidRPr="0098437B" w:rsidRDefault="00B212A6" w:rsidP="00B212A6">
      <w:pPr>
        <w:jc w:val="right"/>
      </w:pPr>
      <w:r>
        <w:t>Zdroj: WALK21</w:t>
      </w:r>
    </w:p>
    <w:sectPr w:rsidR="00B212A6" w:rsidRPr="0098437B" w:rsidSect="007669D9">
      <w:headerReference w:type="default" r:id="rId18"/>
      <w:footerReference w:type="default" r:id="rId19"/>
      <w:pgSz w:w="11910" w:h="16840"/>
      <w:pgMar w:top="1740" w:right="880" w:bottom="1340" w:left="920" w:header="850" w:footer="19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77423" w14:textId="77777777" w:rsidR="00E646D5" w:rsidRDefault="00E646D5" w:rsidP="00324ED3">
      <w:r>
        <w:separator/>
      </w:r>
    </w:p>
  </w:endnote>
  <w:endnote w:type="continuationSeparator" w:id="0">
    <w:p w14:paraId="1E452365" w14:textId="77777777" w:rsidR="00E646D5" w:rsidRDefault="00E646D5" w:rsidP="0032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36785" w14:textId="77777777" w:rsidR="00B16083" w:rsidRDefault="007669D9" w:rsidP="00324ED3">
    <w:pPr>
      <w:pStyle w:val="Zkladntex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328" behindDoc="1" locked="0" layoutInCell="1" allowOverlap="1" wp14:anchorId="0E2619D6" wp14:editId="66B9CEAD">
              <wp:simplePos x="0" y="0"/>
              <wp:positionH relativeFrom="page">
                <wp:posOffset>5508914</wp:posOffset>
              </wp:positionH>
              <wp:positionV relativeFrom="page">
                <wp:posOffset>10167620</wp:posOffset>
              </wp:positionV>
              <wp:extent cx="1671320" cy="3048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3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BB546" w14:textId="24328621" w:rsidR="00B16083" w:rsidRPr="007669D9" w:rsidRDefault="005C3038" w:rsidP="002D7A8C">
                          <w:pPr>
                            <w:pStyle w:val="Zkladntext"/>
                            <w:jc w:val="right"/>
                            <w:rPr>
                              <w:color w:val="88BD23" w:themeColor="background2"/>
                              <w:sz w:val="27"/>
                              <w:szCs w:val="27"/>
                            </w:rPr>
                          </w:pP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B2E8B">
                            <w:rPr>
                              <w:b/>
                              <w:color w:val="88BD23" w:themeColor="background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t>1</w: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end"/>
                          </w:r>
                          <w:r w:rsidRPr="007669D9">
                            <w:rPr>
                              <w:b/>
                              <w:color w:val="88BD23" w:themeColor="background2"/>
                              <w:sz w:val="27"/>
                              <w:szCs w:val="2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619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3.75pt;margin-top:800.6pt;width:131.6pt;height:24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" filled="f" stroked="f">
              <v:textbox inset="0,0,0,0">
                <w:txbxContent>
                  <w:p w14:paraId="667BB546" w14:textId="24328621" w:rsidR="00B16083" w:rsidRPr="007669D9" w:rsidRDefault="005C3038" w:rsidP="002D7A8C">
                    <w:pPr>
                      <w:pStyle w:val="Zkladntext"/>
                      <w:jc w:val="right"/>
                      <w:rPr>
                        <w:color w:val="88BD23" w:themeColor="background2"/>
                        <w:sz w:val="27"/>
                        <w:szCs w:val="27"/>
                      </w:rPr>
                    </w:pP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begin"/>
                    </w:r>
                    <w:r w:rsidRPr="002B2E8B">
                      <w:rPr>
                        <w:b/>
                        <w:color w:val="88BD23" w:themeColor="background2"/>
                        <w:sz w:val="22"/>
                        <w:szCs w:val="22"/>
                      </w:rPr>
                      <w:instrText xml:space="preserve"> PAGE </w:instrTex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separate"/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t>1</w: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end"/>
                    </w:r>
                    <w:r w:rsidRPr="007669D9">
                      <w:rPr>
                        <w:b/>
                        <w:color w:val="88BD23" w:themeColor="background2"/>
                        <w:sz w:val="27"/>
                        <w:szCs w:val="2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07303" behindDoc="1" locked="0" layoutInCell="1" allowOverlap="1" wp14:anchorId="013ABBF0" wp14:editId="454887AE">
          <wp:simplePos x="0" y="0"/>
          <wp:positionH relativeFrom="page">
            <wp:posOffset>-21590</wp:posOffset>
          </wp:positionH>
          <wp:positionV relativeFrom="paragraph">
            <wp:posOffset>100512</wp:posOffset>
          </wp:positionV>
          <wp:extent cx="7704455" cy="1369695"/>
          <wp:effectExtent l="0" t="0" r="0" b="1905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aticka_Cyklovize_2023 bez loga Partnerstv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455" cy="136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A4AD4" w14:textId="77777777" w:rsidR="00E646D5" w:rsidRDefault="00E646D5" w:rsidP="00324ED3">
      <w:r>
        <w:separator/>
      </w:r>
    </w:p>
  </w:footnote>
  <w:footnote w:type="continuationSeparator" w:id="0">
    <w:p w14:paraId="36D9F8A5" w14:textId="77777777" w:rsidR="00E646D5" w:rsidRDefault="00E646D5" w:rsidP="00324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EB79" w14:textId="77777777" w:rsidR="00B16083" w:rsidRDefault="00314E51" w:rsidP="00324ED3">
    <w:pPr>
      <w:pStyle w:val="Zkladntext"/>
      <w:rPr>
        <w:sz w:val="20"/>
      </w:rPr>
    </w:pPr>
    <w:r w:rsidRPr="00314E51">
      <w:rPr>
        <w:noProof/>
        <w:sz w:val="20"/>
      </w:rPr>
      <w:drawing>
        <wp:anchor distT="0" distB="0" distL="114300" distR="114300" simplePos="0" relativeHeight="503310376" behindDoc="1" locked="0" layoutInCell="1" allowOverlap="1" wp14:anchorId="1BF33758" wp14:editId="5C9EEB41">
          <wp:simplePos x="0" y="0"/>
          <wp:positionH relativeFrom="column">
            <wp:posOffset>2533650</wp:posOffset>
          </wp:positionH>
          <wp:positionV relativeFrom="paragraph">
            <wp:posOffset>-543560</wp:posOffset>
          </wp:positionV>
          <wp:extent cx="4536511" cy="1035349"/>
          <wp:effectExtent l="0" t="0" r="0" b="0"/>
          <wp:wrapNone/>
          <wp:docPr id="27" name="Obrázek 27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 descr="Obsah obrázku Písmo, Grafika, logo,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511" cy="1035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6C04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1" w15:restartNumberingAfterBreak="0">
    <w:nsid w:val="05FE1317"/>
    <w:multiLevelType w:val="hybridMultilevel"/>
    <w:tmpl w:val="6C30E0E0"/>
    <w:lvl w:ilvl="0" w:tplc="9A6A79E8">
      <w:start w:val="1"/>
      <w:numFmt w:val="decimal"/>
      <w:lvlText w:val="%1."/>
      <w:lvlJc w:val="left"/>
      <w:pPr>
        <w:ind w:left="520" w:hanging="421"/>
      </w:pPr>
      <w:rPr>
        <w:rFonts w:ascii="Calibri" w:eastAsia="Calibri" w:hAnsi="Calibri" w:cs="Calibri" w:hint="default"/>
        <w:b/>
        <w:bCs/>
        <w:color w:val="00B3F0"/>
        <w:spacing w:val="-4"/>
        <w:w w:val="100"/>
        <w:sz w:val="42"/>
        <w:szCs w:val="42"/>
        <w:lang w:val="cs-CZ" w:eastAsia="cs-CZ" w:bidi="cs-CZ"/>
      </w:rPr>
    </w:lvl>
    <w:lvl w:ilvl="1" w:tplc="3DDEF0CE">
      <w:numFmt w:val="bullet"/>
      <w:lvlText w:val="•"/>
      <w:lvlJc w:val="left"/>
      <w:pPr>
        <w:ind w:left="720" w:hanging="421"/>
      </w:pPr>
      <w:rPr>
        <w:rFonts w:hint="default"/>
        <w:lang w:val="cs-CZ" w:eastAsia="cs-CZ" w:bidi="cs-CZ"/>
      </w:rPr>
    </w:lvl>
    <w:lvl w:ilvl="2" w:tplc="C8BC8972">
      <w:numFmt w:val="bullet"/>
      <w:lvlText w:val="•"/>
      <w:lvlJc w:val="left"/>
      <w:pPr>
        <w:ind w:left="740" w:hanging="421"/>
      </w:pPr>
      <w:rPr>
        <w:rFonts w:hint="default"/>
        <w:lang w:val="cs-CZ" w:eastAsia="cs-CZ" w:bidi="cs-CZ"/>
      </w:rPr>
    </w:lvl>
    <w:lvl w:ilvl="3" w:tplc="7744FB36">
      <w:numFmt w:val="bullet"/>
      <w:lvlText w:val="•"/>
      <w:lvlJc w:val="left"/>
      <w:pPr>
        <w:ind w:left="1910" w:hanging="421"/>
      </w:pPr>
      <w:rPr>
        <w:rFonts w:hint="default"/>
        <w:lang w:val="cs-CZ" w:eastAsia="cs-CZ" w:bidi="cs-CZ"/>
      </w:rPr>
    </w:lvl>
    <w:lvl w:ilvl="4" w:tplc="11403270">
      <w:numFmt w:val="bullet"/>
      <w:lvlText w:val="•"/>
      <w:lvlJc w:val="left"/>
      <w:pPr>
        <w:ind w:left="3081" w:hanging="421"/>
      </w:pPr>
      <w:rPr>
        <w:rFonts w:hint="default"/>
        <w:lang w:val="cs-CZ" w:eastAsia="cs-CZ" w:bidi="cs-CZ"/>
      </w:rPr>
    </w:lvl>
    <w:lvl w:ilvl="5" w:tplc="7D6AE478">
      <w:numFmt w:val="bullet"/>
      <w:lvlText w:val="•"/>
      <w:lvlJc w:val="left"/>
      <w:pPr>
        <w:ind w:left="4252" w:hanging="421"/>
      </w:pPr>
      <w:rPr>
        <w:rFonts w:hint="default"/>
        <w:lang w:val="cs-CZ" w:eastAsia="cs-CZ" w:bidi="cs-CZ"/>
      </w:rPr>
    </w:lvl>
    <w:lvl w:ilvl="6" w:tplc="7B4486D2">
      <w:numFmt w:val="bullet"/>
      <w:lvlText w:val="•"/>
      <w:lvlJc w:val="left"/>
      <w:pPr>
        <w:ind w:left="5422" w:hanging="421"/>
      </w:pPr>
      <w:rPr>
        <w:rFonts w:hint="default"/>
        <w:lang w:val="cs-CZ" w:eastAsia="cs-CZ" w:bidi="cs-CZ"/>
      </w:rPr>
    </w:lvl>
    <w:lvl w:ilvl="7" w:tplc="CB02850A">
      <w:numFmt w:val="bullet"/>
      <w:lvlText w:val="•"/>
      <w:lvlJc w:val="left"/>
      <w:pPr>
        <w:ind w:left="6593" w:hanging="421"/>
      </w:pPr>
      <w:rPr>
        <w:rFonts w:hint="default"/>
        <w:lang w:val="cs-CZ" w:eastAsia="cs-CZ" w:bidi="cs-CZ"/>
      </w:rPr>
    </w:lvl>
    <w:lvl w:ilvl="8" w:tplc="6EECEC20">
      <w:numFmt w:val="bullet"/>
      <w:lvlText w:val="•"/>
      <w:lvlJc w:val="left"/>
      <w:pPr>
        <w:ind w:left="7764" w:hanging="421"/>
      </w:pPr>
      <w:rPr>
        <w:rFonts w:hint="default"/>
        <w:lang w:val="cs-CZ" w:eastAsia="cs-CZ" w:bidi="cs-CZ"/>
      </w:rPr>
    </w:lvl>
  </w:abstractNum>
  <w:abstractNum w:abstractNumId="2" w15:restartNumberingAfterBreak="0">
    <w:nsid w:val="16AA29EE"/>
    <w:multiLevelType w:val="hybridMultilevel"/>
    <w:tmpl w:val="44B4059E"/>
    <w:lvl w:ilvl="0" w:tplc="EA4E48B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04C7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27DD0DD1"/>
    <w:multiLevelType w:val="hybridMultilevel"/>
    <w:tmpl w:val="70246E0C"/>
    <w:lvl w:ilvl="0" w:tplc="29CC045A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color w:val="414042"/>
        <w:spacing w:val="-3"/>
        <w:w w:val="100"/>
        <w:sz w:val="28"/>
        <w:szCs w:val="28"/>
        <w:lang w:val="cs-CZ" w:eastAsia="cs-CZ" w:bidi="cs-CZ"/>
      </w:rPr>
    </w:lvl>
    <w:lvl w:ilvl="1" w:tplc="42F64546">
      <w:numFmt w:val="bullet"/>
      <w:lvlText w:val="•"/>
      <w:lvlJc w:val="left"/>
      <w:pPr>
        <w:ind w:left="1424" w:hanging="361"/>
      </w:pPr>
      <w:rPr>
        <w:rFonts w:hint="default"/>
        <w:lang w:val="cs-CZ" w:eastAsia="cs-CZ" w:bidi="cs-CZ"/>
      </w:rPr>
    </w:lvl>
    <w:lvl w:ilvl="2" w:tplc="25E8B660">
      <w:numFmt w:val="bullet"/>
      <w:lvlText w:val="•"/>
      <w:lvlJc w:val="left"/>
      <w:pPr>
        <w:ind w:left="2389" w:hanging="361"/>
      </w:pPr>
      <w:rPr>
        <w:rFonts w:hint="default"/>
        <w:lang w:val="cs-CZ" w:eastAsia="cs-CZ" w:bidi="cs-CZ"/>
      </w:rPr>
    </w:lvl>
    <w:lvl w:ilvl="3" w:tplc="3344432C">
      <w:numFmt w:val="bullet"/>
      <w:lvlText w:val="•"/>
      <w:lvlJc w:val="left"/>
      <w:pPr>
        <w:ind w:left="3353" w:hanging="361"/>
      </w:pPr>
      <w:rPr>
        <w:rFonts w:hint="default"/>
        <w:lang w:val="cs-CZ" w:eastAsia="cs-CZ" w:bidi="cs-CZ"/>
      </w:rPr>
    </w:lvl>
    <w:lvl w:ilvl="4" w:tplc="782A4C9C">
      <w:numFmt w:val="bullet"/>
      <w:lvlText w:val="•"/>
      <w:lvlJc w:val="left"/>
      <w:pPr>
        <w:ind w:left="4318" w:hanging="361"/>
      </w:pPr>
      <w:rPr>
        <w:rFonts w:hint="default"/>
        <w:lang w:val="cs-CZ" w:eastAsia="cs-CZ" w:bidi="cs-CZ"/>
      </w:rPr>
    </w:lvl>
    <w:lvl w:ilvl="5" w:tplc="90CE9272">
      <w:numFmt w:val="bullet"/>
      <w:lvlText w:val="•"/>
      <w:lvlJc w:val="left"/>
      <w:pPr>
        <w:ind w:left="5282" w:hanging="361"/>
      </w:pPr>
      <w:rPr>
        <w:rFonts w:hint="default"/>
        <w:lang w:val="cs-CZ" w:eastAsia="cs-CZ" w:bidi="cs-CZ"/>
      </w:rPr>
    </w:lvl>
    <w:lvl w:ilvl="6" w:tplc="B622B0DA">
      <w:numFmt w:val="bullet"/>
      <w:lvlText w:val="•"/>
      <w:lvlJc w:val="left"/>
      <w:pPr>
        <w:ind w:left="6247" w:hanging="361"/>
      </w:pPr>
      <w:rPr>
        <w:rFonts w:hint="default"/>
        <w:lang w:val="cs-CZ" w:eastAsia="cs-CZ" w:bidi="cs-CZ"/>
      </w:rPr>
    </w:lvl>
    <w:lvl w:ilvl="7" w:tplc="2C9826F8">
      <w:numFmt w:val="bullet"/>
      <w:lvlText w:val="•"/>
      <w:lvlJc w:val="left"/>
      <w:pPr>
        <w:ind w:left="7211" w:hanging="361"/>
      </w:pPr>
      <w:rPr>
        <w:rFonts w:hint="default"/>
        <w:lang w:val="cs-CZ" w:eastAsia="cs-CZ" w:bidi="cs-CZ"/>
      </w:rPr>
    </w:lvl>
    <w:lvl w:ilvl="8" w:tplc="6FC2EA00">
      <w:numFmt w:val="bullet"/>
      <w:lvlText w:val="•"/>
      <w:lvlJc w:val="left"/>
      <w:pPr>
        <w:ind w:left="8176" w:hanging="361"/>
      </w:pPr>
      <w:rPr>
        <w:rFonts w:hint="default"/>
        <w:lang w:val="cs-CZ" w:eastAsia="cs-CZ" w:bidi="cs-CZ"/>
      </w:rPr>
    </w:lvl>
  </w:abstractNum>
  <w:abstractNum w:abstractNumId="5" w15:restartNumberingAfterBreak="0">
    <w:nsid w:val="2C237D9D"/>
    <w:multiLevelType w:val="multilevel"/>
    <w:tmpl w:val="4C86309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45B24FF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44D61A2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8" w15:restartNumberingAfterBreak="0">
    <w:nsid w:val="4DC25E8B"/>
    <w:multiLevelType w:val="hybridMultilevel"/>
    <w:tmpl w:val="73028484"/>
    <w:lvl w:ilvl="0" w:tplc="1F685EBA">
      <w:numFmt w:val="bullet"/>
      <w:pStyle w:val="Odstavecseseznamem"/>
      <w:lvlText w:val="•"/>
      <w:lvlJc w:val="left"/>
      <w:pPr>
        <w:ind w:left="820" w:hanging="720"/>
      </w:pPr>
      <w:rPr>
        <w:rFonts w:ascii="Calibri" w:eastAsia="Calibri" w:hAnsi="Calibri" w:cs="Calibri" w:hint="default"/>
        <w:color w:val="414042"/>
        <w:spacing w:val="-5"/>
        <w:w w:val="100"/>
        <w:sz w:val="28"/>
        <w:szCs w:val="28"/>
        <w:lang w:val="cs-CZ" w:eastAsia="cs-CZ" w:bidi="cs-CZ"/>
      </w:rPr>
    </w:lvl>
    <w:lvl w:ilvl="1" w:tplc="0CAC7558">
      <w:numFmt w:val="bullet"/>
      <w:lvlText w:val="•"/>
      <w:lvlJc w:val="left"/>
      <w:pPr>
        <w:ind w:left="1748" w:hanging="720"/>
      </w:pPr>
      <w:rPr>
        <w:rFonts w:hint="default"/>
        <w:lang w:val="cs-CZ" w:eastAsia="cs-CZ" w:bidi="cs-CZ"/>
      </w:rPr>
    </w:lvl>
    <w:lvl w:ilvl="2" w:tplc="117C0CDC">
      <w:numFmt w:val="bullet"/>
      <w:lvlText w:val="•"/>
      <w:lvlJc w:val="left"/>
      <w:pPr>
        <w:ind w:left="2677" w:hanging="720"/>
      </w:pPr>
      <w:rPr>
        <w:rFonts w:hint="default"/>
        <w:lang w:val="cs-CZ" w:eastAsia="cs-CZ" w:bidi="cs-CZ"/>
      </w:rPr>
    </w:lvl>
    <w:lvl w:ilvl="3" w:tplc="A45CEC42">
      <w:numFmt w:val="bullet"/>
      <w:lvlText w:val="•"/>
      <w:lvlJc w:val="left"/>
      <w:pPr>
        <w:ind w:left="3605" w:hanging="720"/>
      </w:pPr>
      <w:rPr>
        <w:rFonts w:hint="default"/>
        <w:lang w:val="cs-CZ" w:eastAsia="cs-CZ" w:bidi="cs-CZ"/>
      </w:rPr>
    </w:lvl>
    <w:lvl w:ilvl="4" w:tplc="558AE334">
      <w:numFmt w:val="bullet"/>
      <w:lvlText w:val="•"/>
      <w:lvlJc w:val="left"/>
      <w:pPr>
        <w:ind w:left="4534" w:hanging="720"/>
      </w:pPr>
      <w:rPr>
        <w:rFonts w:hint="default"/>
        <w:lang w:val="cs-CZ" w:eastAsia="cs-CZ" w:bidi="cs-CZ"/>
      </w:rPr>
    </w:lvl>
    <w:lvl w:ilvl="5" w:tplc="E746F9EE">
      <w:numFmt w:val="bullet"/>
      <w:lvlText w:val="•"/>
      <w:lvlJc w:val="left"/>
      <w:pPr>
        <w:ind w:left="5462" w:hanging="720"/>
      </w:pPr>
      <w:rPr>
        <w:rFonts w:hint="default"/>
        <w:lang w:val="cs-CZ" w:eastAsia="cs-CZ" w:bidi="cs-CZ"/>
      </w:rPr>
    </w:lvl>
    <w:lvl w:ilvl="6" w:tplc="AA5617B6">
      <w:numFmt w:val="bullet"/>
      <w:lvlText w:val="•"/>
      <w:lvlJc w:val="left"/>
      <w:pPr>
        <w:ind w:left="6391" w:hanging="720"/>
      </w:pPr>
      <w:rPr>
        <w:rFonts w:hint="default"/>
        <w:lang w:val="cs-CZ" w:eastAsia="cs-CZ" w:bidi="cs-CZ"/>
      </w:rPr>
    </w:lvl>
    <w:lvl w:ilvl="7" w:tplc="FC086986">
      <w:numFmt w:val="bullet"/>
      <w:lvlText w:val="•"/>
      <w:lvlJc w:val="left"/>
      <w:pPr>
        <w:ind w:left="7319" w:hanging="720"/>
      </w:pPr>
      <w:rPr>
        <w:rFonts w:hint="default"/>
        <w:lang w:val="cs-CZ" w:eastAsia="cs-CZ" w:bidi="cs-CZ"/>
      </w:rPr>
    </w:lvl>
    <w:lvl w:ilvl="8" w:tplc="CDE439F8">
      <w:numFmt w:val="bullet"/>
      <w:lvlText w:val="•"/>
      <w:lvlJc w:val="left"/>
      <w:pPr>
        <w:ind w:left="8248" w:hanging="720"/>
      </w:pPr>
      <w:rPr>
        <w:rFonts w:hint="default"/>
        <w:lang w:val="cs-CZ" w:eastAsia="cs-CZ" w:bidi="cs-CZ"/>
      </w:rPr>
    </w:lvl>
  </w:abstractNum>
  <w:abstractNum w:abstractNumId="9" w15:restartNumberingAfterBreak="0">
    <w:nsid w:val="63044945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10" w15:restartNumberingAfterBreak="0">
    <w:nsid w:val="6F8648B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num w:numId="1" w16cid:durableId="1506479563">
    <w:abstractNumId w:val="1"/>
  </w:num>
  <w:num w:numId="2" w16cid:durableId="862091071">
    <w:abstractNumId w:val="4"/>
  </w:num>
  <w:num w:numId="3" w16cid:durableId="31929978">
    <w:abstractNumId w:val="8"/>
  </w:num>
  <w:num w:numId="4" w16cid:durableId="2028094868">
    <w:abstractNumId w:val="3"/>
  </w:num>
  <w:num w:numId="5" w16cid:durableId="1040670771">
    <w:abstractNumId w:val="10"/>
  </w:num>
  <w:num w:numId="6" w16cid:durableId="1304430123">
    <w:abstractNumId w:val="7"/>
  </w:num>
  <w:num w:numId="7" w16cid:durableId="622007313">
    <w:abstractNumId w:val="1"/>
    <w:lvlOverride w:ilvl="0">
      <w:lvl w:ilvl="0" w:tplc="9A6A79E8">
        <w:start w:val="1"/>
        <w:numFmt w:val="decimal"/>
        <w:lvlText w:val="%1."/>
        <w:lvlJc w:val="left"/>
        <w:pPr>
          <w:ind w:left="520" w:hanging="421"/>
        </w:pPr>
        <w:rPr>
          <w:rFonts w:ascii="Calibri" w:eastAsia="Calibri" w:hAnsi="Calibri" w:cs="Calibri" w:hint="default"/>
          <w:b/>
          <w:bCs/>
          <w:color w:val="00B3F0"/>
          <w:spacing w:val="-4"/>
          <w:w w:val="100"/>
          <w:sz w:val="42"/>
          <w:szCs w:val="42"/>
        </w:rPr>
      </w:lvl>
    </w:lvlOverride>
    <w:lvlOverride w:ilvl="1">
      <w:lvl w:ilvl="1" w:tplc="3DDEF0CE">
        <w:numFmt w:val="bullet"/>
        <w:lvlText w:val="•"/>
        <w:lvlJc w:val="left"/>
        <w:pPr>
          <w:ind w:left="720" w:hanging="421"/>
        </w:pPr>
        <w:rPr>
          <w:rFonts w:hint="default"/>
        </w:rPr>
      </w:lvl>
    </w:lvlOverride>
    <w:lvlOverride w:ilvl="2">
      <w:lvl w:ilvl="2" w:tplc="C8BC8972">
        <w:numFmt w:val="bullet"/>
        <w:lvlText w:val="•"/>
        <w:lvlJc w:val="left"/>
        <w:pPr>
          <w:ind w:left="740" w:hanging="421"/>
        </w:pPr>
        <w:rPr>
          <w:rFonts w:hint="default"/>
        </w:rPr>
      </w:lvl>
    </w:lvlOverride>
    <w:lvlOverride w:ilvl="3">
      <w:lvl w:ilvl="3" w:tplc="7744FB36">
        <w:numFmt w:val="bullet"/>
        <w:lvlText w:val="•"/>
        <w:lvlJc w:val="left"/>
        <w:pPr>
          <w:ind w:left="1910" w:hanging="421"/>
        </w:pPr>
        <w:rPr>
          <w:rFonts w:hint="default"/>
        </w:rPr>
      </w:lvl>
    </w:lvlOverride>
    <w:lvlOverride w:ilvl="4">
      <w:lvl w:ilvl="4" w:tplc="11403270">
        <w:numFmt w:val="bullet"/>
        <w:lvlText w:val="•"/>
        <w:lvlJc w:val="left"/>
        <w:pPr>
          <w:ind w:left="3081" w:hanging="421"/>
        </w:pPr>
        <w:rPr>
          <w:rFonts w:hint="default"/>
        </w:rPr>
      </w:lvl>
    </w:lvlOverride>
    <w:lvlOverride w:ilvl="5">
      <w:lvl w:ilvl="5" w:tplc="7D6AE478">
        <w:numFmt w:val="bullet"/>
        <w:lvlText w:val="•"/>
        <w:lvlJc w:val="left"/>
        <w:pPr>
          <w:ind w:left="4252" w:hanging="421"/>
        </w:pPr>
        <w:rPr>
          <w:rFonts w:hint="default"/>
        </w:rPr>
      </w:lvl>
    </w:lvlOverride>
    <w:lvlOverride w:ilvl="6">
      <w:lvl w:ilvl="6" w:tplc="7B4486D2">
        <w:numFmt w:val="bullet"/>
        <w:lvlText w:val="•"/>
        <w:lvlJc w:val="left"/>
        <w:pPr>
          <w:ind w:left="5422" w:hanging="421"/>
        </w:pPr>
        <w:rPr>
          <w:rFonts w:hint="default"/>
        </w:rPr>
      </w:lvl>
    </w:lvlOverride>
    <w:lvlOverride w:ilvl="7">
      <w:lvl w:ilvl="7" w:tplc="CB02850A">
        <w:numFmt w:val="bullet"/>
        <w:lvlText w:val="•"/>
        <w:lvlJc w:val="left"/>
        <w:pPr>
          <w:ind w:left="6593" w:hanging="421"/>
        </w:pPr>
        <w:rPr>
          <w:rFonts w:hint="default"/>
        </w:rPr>
      </w:lvl>
    </w:lvlOverride>
    <w:lvlOverride w:ilvl="8">
      <w:lvl w:ilvl="8" w:tplc="6EECEC20">
        <w:numFmt w:val="bullet"/>
        <w:lvlText w:val="•"/>
        <w:lvlJc w:val="left"/>
        <w:pPr>
          <w:ind w:left="7764" w:hanging="421"/>
        </w:pPr>
        <w:rPr>
          <w:rFonts w:hint="default"/>
        </w:rPr>
      </w:lvl>
    </w:lvlOverride>
  </w:num>
  <w:num w:numId="8" w16cid:durableId="1629701832">
    <w:abstractNumId w:val="6"/>
  </w:num>
  <w:num w:numId="9" w16cid:durableId="348607067">
    <w:abstractNumId w:val="9"/>
  </w:num>
  <w:num w:numId="10" w16cid:durableId="2051688838">
    <w:abstractNumId w:val="0"/>
  </w:num>
  <w:num w:numId="11" w16cid:durableId="1358848050">
    <w:abstractNumId w:val="5"/>
  </w:num>
  <w:num w:numId="12" w16cid:durableId="642849423">
    <w:abstractNumId w:val="5"/>
  </w:num>
  <w:num w:numId="13" w16cid:durableId="1177887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0MDM0tzAwNzI1NrFQ0lEKTi0uzszPAykwrAUA/+cqQiwAAAA="/>
  </w:docVars>
  <w:rsids>
    <w:rsidRoot w:val="00B16083"/>
    <w:rsid w:val="000955D6"/>
    <w:rsid w:val="000D33D1"/>
    <w:rsid w:val="000E3ADE"/>
    <w:rsid w:val="0011367D"/>
    <w:rsid w:val="002776AD"/>
    <w:rsid w:val="002B2E8B"/>
    <w:rsid w:val="002D6CFB"/>
    <w:rsid w:val="002D7A8C"/>
    <w:rsid w:val="00312790"/>
    <w:rsid w:val="00314E51"/>
    <w:rsid w:val="00324ED3"/>
    <w:rsid w:val="003D4BFB"/>
    <w:rsid w:val="00441478"/>
    <w:rsid w:val="00543CF8"/>
    <w:rsid w:val="0057627A"/>
    <w:rsid w:val="0058739A"/>
    <w:rsid w:val="005A73F2"/>
    <w:rsid w:val="005C3038"/>
    <w:rsid w:val="00630CB6"/>
    <w:rsid w:val="00656899"/>
    <w:rsid w:val="00691211"/>
    <w:rsid w:val="007437DB"/>
    <w:rsid w:val="007669D9"/>
    <w:rsid w:val="00836C2F"/>
    <w:rsid w:val="008447FF"/>
    <w:rsid w:val="008B1623"/>
    <w:rsid w:val="008B7260"/>
    <w:rsid w:val="008C536C"/>
    <w:rsid w:val="008E1CFC"/>
    <w:rsid w:val="008E4273"/>
    <w:rsid w:val="009620F3"/>
    <w:rsid w:val="00981723"/>
    <w:rsid w:val="0098437B"/>
    <w:rsid w:val="009E4A64"/>
    <w:rsid w:val="00A55793"/>
    <w:rsid w:val="00A55EE6"/>
    <w:rsid w:val="00A77424"/>
    <w:rsid w:val="00A91985"/>
    <w:rsid w:val="00AD2A7B"/>
    <w:rsid w:val="00AF7C97"/>
    <w:rsid w:val="00B16083"/>
    <w:rsid w:val="00B212A6"/>
    <w:rsid w:val="00B633DB"/>
    <w:rsid w:val="00C23823"/>
    <w:rsid w:val="00D330E8"/>
    <w:rsid w:val="00E646D5"/>
    <w:rsid w:val="00E82B6C"/>
    <w:rsid w:val="00EC794F"/>
    <w:rsid w:val="00F1079A"/>
    <w:rsid w:val="00F12837"/>
    <w:rsid w:val="00F2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40970"/>
  <w15:docId w15:val="{C3AC5450-9FD4-4101-B4E7-DEDD5985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ED3"/>
    <w:pPr>
      <w:spacing w:before="60" w:after="60"/>
      <w:jc w:val="both"/>
    </w:pPr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Nadpis1">
    <w:name w:val="heading 1"/>
    <w:basedOn w:val="Normln"/>
    <w:uiPriority w:val="9"/>
    <w:qFormat/>
    <w:rsid w:val="007669D9"/>
    <w:pPr>
      <w:keepNext/>
      <w:numPr>
        <w:numId w:val="11"/>
      </w:numPr>
      <w:tabs>
        <w:tab w:val="left" w:pos="521"/>
      </w:tabs>
      <w:spacing w:before="360" w:after="160"/>
      <w:outlineLvl w:val="0"/>
    </w:pPr>
    <w:rPr>
      <w:b/>
      <w:bCs/>
      <w:color w:val="00A0E3" w:themeColor="accent2"/>
      <w:sz w:val="42"/>
      <w:szCs w:val="42"/>
    </w:rPr>
  </w:style>
  <w:style w:type="paragraph" w:styleId="Nadpis2">
    <w:name w:val="heading 2"/>
    <w:basedOn w:val="Normln"/>
    <w:link w:val="Nadpis2Char"/>
    <w:uiPriority w:val="9"/>
    <w:unhideWhenUsed/>
    <w:qFormat/>
    <w:rsid w:val="008B1623"/>
    <w:pPr>
      <w:keepNext/>
      <w:numPr>
        <w:ilvl w:val="1"/>
        <w:numId w:val="11"/>
      </w:numPr>
      <w:spacing w:before="240" w:after="120"/>
      <w:outlineLvl w:val="1"/>
    </w:pPr>
    <w:rPr>
      <w:b/>
      <w:bCs/>
      <w:color w:val="84BD00"/>
      <w:sz w:val="36"/>
      <w:szCs w:val="36"/>
    </w:rPr>
  </w:style>
  <w:style w:type="paragraph" w:styleId="Nadpis3">
    <w:name w:val="heading 3"/>
    <w:basedOn w:val="Normln"/>
    <w:uiPriority w:val="9"/>
    <w:unhideWhenUsed/>
    <w:qFormat/>
    <w:rsid w:val="007669D9"/>
    <w:pPr>
      <w:keepNext/>
      <w:numPr>
        <w:ilvl w:val="2"/>
        <w:numId w:val="11"/>
      </w:numPr>
      <w:outlineLvl w:val="2"/>
    </w:pPr>
    <w:rPr>
      <w:b/>
      <w:bCs/>
      <w:color w:val="004F9F" w:themeColor="text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4ED3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B26F1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4ED3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B26F1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4ED3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76490F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4ED3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490F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4ED3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4ED3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rsid w:val="00F12837"/>
    <w:pPr>
      <w:spacing w:before="76"/>
      <w:ind w:left="357" w:hanging="357"/>
    </w:pPr>
  </w:style>
  <w:style w:type="paragraph" w:styleId="Zkladntext">
    <w:name w:val="Body Text"/>
    <w:basedOn w:val="Normln"/>
    <w:uiPriority w:val="1"/>
    <w:qFormat/>
    <w:rsid w:val="00324ED3"/>
  </w:style>
  <w:style w:type="paragraph" w:styleId="Odstavecseseznamem">
    <w:name w:val="List Paragraph"/>
    <w:basedOn w:val="Normln"/>
    <w:uiPriority w:val="1"/>
    <w:qFormat/>
    <w:rsid w:val="00AD2A7B"/>
    <w:pPr>
      <w:numPr>
        <w:numId w:val="3"/>
      </w:numPr>
      <w:tabs>
        <w:tab w:val="left" w:pos="820"/>
        <w:tab w:val="left" w:pos="821"/>
      </w:tabs>
      <w:spacing w:line="336" w:lineRule="exact"/>
    </w:pPr>
  </w:style>
  <w:style w:type="paragraph" w:customStyle="1" w:styleId="TableParagraph">
    <w:name w:val="Table Paragraph"/>
    <w:basedOn w:val="Normln"/>
    <w:uiPriority w:val="1"/>
    <w:qFormat/>
    <w:pPr>
      <w:spacing w:line="300" w:lineRule="exact"/>
      <w:ind w:left="22"/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rsid w:val="008B1623"/>
    <w:rPr>
      <w:rFonts w:ascii="Calibri" w:eastAsia="Calibri" w:hAnsi="Calibri" w:cs="Calibri"/>
      <w:b/>
      <w:bCs/>
      <w:color w:val="84BD00"/>
      <w:sz w:val="36"/>
      <w:szCs w:val="36"/>
      <w:lang w:val="cs-CZ"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4ED3"/>
    <w:rPr>
      <w:rFonts w:asciiTheme="majorHAnsi" w:eastAsiaTheme="majorEastAsia" w:hAnsiTheme="majorHAnsi" w:cstheme="majorBidi"/>
      <w:i/>
      <w:iCs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4ED3"/>
    <w:rPr>
      <w:rFonts w:asciiTheme="majorHAnsi" w:eastAsiaTheme="majorEastAsia" w:hAnsiTheme="majorHAnsi" w:cstheme="majorBidi"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4ED3"/>
    <w:rPr>
      <w:rFonts w:asciiTheme="majorHAnsi" w:eastAsiaTheme="majorEastAsia" w:hAnsiTheme="majorHAnsi" w:cstheme="majorBidi"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4ED3"/>
    <w:rPr>
      <w:rFonts w:asciiTheme="majorHAnsi" w:eastAsiaTheme="majorEastAsia" w:hAnsiTheme="majorHAnsi" w:cstheme="majorBidi"/>
      <w:i/>
      <w:iCs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4E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4E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F12837"/>
    <w:pPr>
      <w:numPr>
        <w:numId w:val="0"/>
      </w:numPr>
    </w:pPr>
  </w:style>
  <w:style w:type="paragraph" w:styleId="Obsah3">
    <w:name w:val="toc 3"/>
    <w:basedOn w:val="Normln"/>
    <w:next w:val="Normln"/>
    <w:autoRedefine/>
    <w:uiPriority w:val="39"/>
    <w:unhideWhenUsed/>
    <w:rsid w:val="00324ED3"/>
    <w:pPr>
      <w:spacing w:after="100"/>
      <w:ind w:left="560"/>
    </w:pPr>
  </w:style>
  <w:style w:type="paragraph" w:styleId="Obsah2">
    <w:name w:val="toc 2"/>
    <w:basedOn w:val="Normln"/>
    <w:next w:val="Normln"/>
    <w:autoRedefine/>
    <w:uiPriority w:val="39"/>
    <w:unhideWhenUsed/>
    <w:rsid w:val="00324ED3"/>
    <w:pPr>
      <w:spacing w:after="100"/>
      <w:ind w:left="280"/>
    </w:pPr>
  </w:style>
  <w:style w:type="character" w:styleId="Hypertextovodkaz">
    <w:name w:val="Hyperlink"/>
    <w:basedOn w:val="Standardnpsmoodstavce"/>
    <w:uiPriority w:val="99"/>
    <w:unhideWhenUsed/>
    <w:rsid w:val="00324ED3"/>
    <w:rPr>
      <w:color w:val="22ABE3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A55793"/>
    <w:pPr>
      <w:spacing w:before="0" w:after="200"/>
    </w:pPr>
  </w:style>
  <w:style w:type="paragraph" w:styleId="Zhlav">
    <w:name w:val="header"/>
    <w:basedOn w:val="Normln"/>
    <w:link w:val="Zhlav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alk21.com/resources/tools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alk21.com/resources/measuring-walking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s://walk21.com/work/training/the-8-step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lk21.com/resources/international-charter-for-walk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alk21.com/tools/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alk21.com/projects/small-steps-forwar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PPM">
      <a:dk1>
        <a:sysClr val="windowText" lastClr="000000"/>
      </a:dk1>
      <a:lt1>
        <a:sysClr val="window" lastClr="FFFFFF"/>
      </a:lt1>
      <a:dk2>
        <a:srgbClr val="004F9F"/>
      </a:dk2>
      <a:lt2>
        <a:srgbClr val="88BD23"/>
      </a:lt2>
      <a:accent1>
        <a:srgbClr val="E49328"/>
      </a:accent1>
      <a:accent2>
        <a:srgbClr val="00A0E3"/>
      </a:accent2>
      <a:accent3>
        <a:srgbClr val="DFFABB"/>
      </a:accent3>
      <a:accent4>
        <a:srgbClr val="D9F3FE"/>
      </a:accent4>
      <a:accent5>
        <a:srgbClr val="A5A5A5"/>
      </a:accent5>
      <a:accent6>
        <a:srgbClr val="B8E840"/>
      </a:accent6>
      <a:hlink>
        <a:srgbClr val="22ABE3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82E80C19-479B-4177-B8CE-8045F120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7</Pages>
  <Words>1644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Eva Štěrbová</cp:lastModifiedBy>
  <cp:revision>6</cp:revision>
  <dcterms:created xsi:type="dcterms:W3CDTF">2024-11-05T12:55:00Z</dcterms:created>
  <dcterms:modified xsi:type="dcterms:W3CDTF">2024-11-08T14:23:00Z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2019-05-24T00:00:00Z</vt:filetime>
  </property>
</Properties>
</file>