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7EF6" w14:textId="77777777" w:rsidR="007F3325" w:rsidRDefault="007F3325" w:rsidP="0094058A">
      <w:pPr>
        <w:pStyle w:val="Nadpisobsahu"/>
      </w:pPr>
      <w:r>
        <w:t xml:space="preserve">Bezpečnostní prvky </w:t>
      </w:r>
      <w:proofErr w:type="spellStart"/>
      <w:r>
        <w:t>cykloboxů</w:t>
      </w:r>
      <w:proofErr w:type="spellEnd"/>
    </w:p>
    <w:p w14:paraId="736F7EA1" w14:textId="77777777" w:rsidR="007F3325" w:rsidRDefault="007F3325" w:rsidP="007F3325">
      <w:r w:rsidRPr="00572B78">
        <w:t>Uzamykatelné skříňky na kola poskytují nejvyšší úroveň zabezpečení a chrání před krádežemi, vandalismem a nepřízní počasí, čímž podporují používání jízdních kol jako dopravního prostředku.</w:t>
      </w:r>
    </w:p>
    <w:p w14:paraId="63C8D14E" w14:textId="77777777" w:rsidR="0094058A" w:rsidRDefault="007F3325" w:rsidP="0094058A">
      <w:pPr>
        <w:rPr>
          <w:b/>
          <w:bCs/>
        </w:rPr>
      </w:pPr>
      <w:r w:rsidRPr="00572B78">
        <w:rPr>
          <w:b/>
          <w:bCs/>
        </w:rPr>
        <w:t xml:space="preserve">Skříňky na kola jsou ideální </w:t>
      </w:r>
      <w:r>
        <w:rPr>
          <w:b/>
          <w:bCs/>
        </w:rPr>
        <w:t xml:space="preserve">k uzlům veřejné dopravy, nebo do </w:t>
      </w:r>
      <w:r w:rsidR="0094058A">
        <w:rPr>
          <w:b/>
          <w:bCs/>
        </w:rPr>
        <w:t xml:space="preserve">škol a </w:t>
      </w:r>
      <w:r>
        <w:rPr>
          <w:b/>
          <w:bCs/>
        </w:rPr>
        <w:t>zaměstnání</w:t>
      </w:r>
      <w:r w:rsidRPr="00572B78">
        <w:rPr>
          <w:b/>
          <w:bCs/>
        </w:rPr>
        <w:t xml:space="preserve">, </w:t>
      </w:r>
      <w:r>
        <w:rPr>
          <w:b/>
          <w:bCs/>
        </w:rPr>
        <w:t>čímž</w:t>
      </w:r>
      <w:r w:rsidRPr="00572B78">
        <w:rPr>
          <w:b/>
          <w:bCs/>
        </w:rPr>
        <w:t xml:space="preserve"> podporují </w:t>
      </w:r>
      <w:proofErr w:type="spellStart"/>
      <w:r>
        <w:rPr>
          <w:b/>
          <w:bCs/>
        </w:rPr>
        <w:t>intermodalitu</w:t>
      </w:r>
      <w:proofErr w:type="spellEnd"/>
      <w:r>
        <w:rPr>
          <w:b/>
          <w:bCs/>
        </w:rPr>
        <w:t xml:space="preserve"> </w:t>
      </w:r>
      <w:r w:rsidR="0094058A">
        <w:rPr>
          <w:b/>
          <w:bCs/>
        </w:rPr>
        <w:t>a</w:t>
      </w:r>
      <w:r>
        <w:rPr>
          <w:b/>
          <w:bCs/>
        </w:rPr>
        <w:t> užívání</w:t>
      </w:r>
      <w:r w:rsidR="0094058A">
        <w:rPr>
          <w:b/>
          <w:bCs/>
        </w:rPr>
        <w:t xml:space="preserve"> </w:t>
      </w:r>
      <w:r>
        <w:rPr>
          <w:b/>
          <w:bCs/>
        </w:rPr>
        <w:t xml:space="preserve">kol. </w:t>
      </w:r>
    </w:p>
    <w:p w14:paraId="45D61E6A" w14:textId="77777777" w:rsidR="0094058A" w:rsidRDefault="0094058A" w:rsidP="0094058A">
      <w:pPr>
        <w:rPr>
          <w:b/>
          <w:bCs/>
        </w:rPr>
      </w:pPr>
    </w:p>
    <w:p w14:paraId="6A92D87B" w14:textId="08A2ACB8" w:rsidR="007F3325" w:rsidRDefault="007F3325" w:rsidP="0094058A">
      <w:pPr>
        <w:pStyle w:val="Odstavecseseznamem"/>
        <w:numPr>
          <w:ilvl w:val="0"/>
          <w:numId w:val="16"/>
        </w:numPr>
      </w:pPr>
      <w:r>
        <w:t>Skříňka na kola by měla zcela uzavírat jízdní kolo.</w:t>
      </w:r>
    </w:p>
    <w:p w14:paraId="1E87E95C" w14:textId="77777777" w:rsidR="007F3325" w:rsidRDefault="007F3325" w:rsidP="007F3325">
      <w:pPr>
        <w:pStyle w:val="Odstavecseseznamem"/>
        <w:widowControl/>
        <w:numPr>
          <w:ilvl w:val="0"/>
          <w:numId w:val="16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jc w:val="left"/>
      </w:pPr>
      <w:r>
        <w:t>Měla by poskytovat určitou ochranu před povětrnostními vlivy</w:t>
      </w:r>
    </w:p>
    <w:p w14:paraId="5F103FDE" w14:textId="77777777" w:rsidR="007F3325" w:rsidRDefault="007F3325" w:rsidP="007F3325">
      <w:pPr>
        <w:pStyle w:val="Odstavecseseznamem"/>
        <w:widowControl/>
        <w:numPr>
          <w:ilvl w:val="0"/>
          <w:numId w:val="16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jc w:val="left"/>
      </w:pPr>
      <w:r>
        <w:t>Skříňku by mělo být možné ukotvit do země</w:t>
      </w:r>
    </w:p>
    <w:p w14:paraId="0D6F1280" w14:textId="77777777" w:rsidR="007F3325" w:rsidRDefault="007F3325" w:rsidP="007F3325">
      <w:pPr>
        <w:pStyle w:val="Odstavecseseznamem"/>
        <w:widowControl/>
        <w:numPr>
          <w:ilvl w:val="0"/>
          <w:numId w:val="16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jc w:val="left"/>
      </w:pPr>
      <w:r>
        <w:t>Zajistit bezpečnost proti vandalismu a neoprávněné manipulaci.</w:t>
      </w:r>
    </w:p>
    <w:p w14:paraId="79256CB9" w14:textId="77777777" w:rsidR="007F3325" w:rsidRPr="00DB159B" w:rsidRDefault="007F3325" w:rsidP="007F3325">
      <w:pPr>
        <w:pStyle w:val="Odstavecseseznamem"/>
        <w:widowControl/>
        <w:numPr>
          <w:ilvl w:val="0"/>
          <w:numId w:val="16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jc w:val="left"/>
      </w:pPr>
      <w:r w:rsidRPr="00DB159B">
        <w:t xml:space="preserve">Protipožárním těsněním, které rozděluje oheň a snižuje riziko jeho šíření, což je při skladování elektrokol zásadní. </w:t>
      </w:r>
    </w:p>
    <w:p w14:paraId="2BC8E633" w14:textId="77777777" w:rsidR="007F3325" w:rsidRDefault="007F3325" w:rsidP="007F3325">
      <w:pPr>
        <w:pStyle w:val="Odstavecseseznamem"/>
        <w:widowControl/>
        <w:numPr>
          <w:ilvl w:val="0"/>
          <w:numId w:val="16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jc w:val="left"/>
      </w:pPr>
      <w:r>
        <w:t>Vybavení</w:t>
      </w:r>
      <w:r w:rsidRPr="00352A91">
        <w:t xml:space="preserve"> solárním panelem a nabíjecím systémem pro elektrokola</w:t>
      </w:r>
    </w:p>
    <w:p w14:paraId="55340912" w14:textId="77777777" w:rsidR="007F3325" w:rsidRDefault="007F3325" w:rsidP="007F3325">
      <w:pPr>
        <w:pStyle w:val="Nadpis2"/>
      </w:pPr>
      <w:r>
        <w:t>Materiály pro skříňky na kola</w:t>
      </w:r>
    </w:p>
    <w:p w14:paraId="484CC983" w14:textId="77777777" w:rsidR="007F3325" w:rsidRDefault="007F3325" w:rsidP="007F3325">
      <w:r>
        <w:t xml:space="preserve">Pokud jde o materiály použité k uzavření jízdního kola, </w:t>
      </w:r>
      <w:r w:rsidRPr="0094058A">
        <w:rPr>
          <w:b/>
          <w:bCs/>
        </w:rPr>
        <w:t>doporučujeme ocel</w:t>
      </w:r>
      <w:r>
        <w:t>. Ta poskytuje ideální úroveň ochrany proti běžným útokům na zabezpečení skříněk na kola. Stejně jako u komerčních stojanů na kola zloději nejčastěji používají ruční nářadí, aby realizovali strategii řezání a vypáčení při vloupání do komerčních skříněk na kola. Skříňky na kola vyrobené z oceli jsou neuvěřitelně odolné proti proříznutí ručním nářadím.</w:t>
      </w:r>
    </w:p>
    <w:p w14:paraId="44DB757D" w14:textId="77777777" w:rsidR="007F3325" w:rsidRDefault="007F3325" w:rsidP="007F3325">
      <w:r>
        <w:t>Alternativou jsou plasty, které mají různou úroveň odolnosti proti řezání běžnými nástroji. Zatímco některé plasty mohou poskytnout dodatečnou odolnost, ty s pláštěm z měkkého polyuretanu lze rozříznout.</w:t>
      </w:r>
    </w:p>
    <w:p w14:paraId="32372084" w14:textId="77777777" w:rsidR="007F3325" w:rsidRDefault="007F3325" w:rsidP="007F3325">
      <w:r w:rsidRPr="00DB159B">
        <w:t>Dveře,</w:t>
      </w:r>
      <w:r>
        <w:t xml:space="preserve"> které jsou hlavním přístupovým bodem do skříňky, hrají v rámci zabezpečení skříňky na kola nedílnou roli a jsou místem, kde dochází k mnoha útokům ze strany vandalů a zlodějů. Ujistěte se, že rámy </w:t>
      </w:r>
      <w:r w:rsidRPr="0094058A">
        <w:rPr>
          <w:b/>
          <w:bCs/>
        </w:rPr>
        <w:t>dveří skříňky jsou konstruovány s malými nebo žádnými mezerami</w:t>
      </w:r>
      <w:r>
        <w:t>. Čím menší je mezera, tím menší je možnost vložení páčidla k vypáčení dvířek.</w:t>
      </w:r>
    </w:p>
    <w:p w14:paraId="07E73535" w14:textId="77777777" w:rsidR="007F3325" w:rsidRDefault="007F3325" w:rsidP="007F3325">
      <w:pPr>
        <w:pStyle w:val="Nadpis2"/>
      </w:pPr>
      <w:r>
        <w:t>Perforace</w:t>
      </w:r>
    </w:p>
    <w:p w14:paraId="4BF0F025" w14:textId="77777777" w:rsidR="007F3325" w:rsidRDefault="007F3325" w:rsidP="007F3325">
      <w:r>
        <w:t xml:space="preserve">Kromě materiálového složení dveří a panelů je dalším bezpečnostním prvkem, který je </w:t>
      </w:r>
      <w:r>
        <w:lastRenderedPageBreak/>
        <w:t>třeba zkontrolovat. Perforace má dva základní účely:</w:t>
      </w:r>
    </w:p>
    <w:p w14:paraId="753996A0" w14:textId="77777777" w:rsidR="007F3325" w:rsidRPr="0094058A" w:rsidRDefault="007F3325" w:rsidP="007F3325">
      <w:pPr>
        <w:rPr>
          <w:b/>
          <w:bCs/>
        </w:rPr>
      </w:pPr>
      <w:r w:rsidRPr="0094058A">
        <w:rPr>
          <w:b/>
          <w:bCs/>
        </w:rPr>
        <w:t>Vizuální kontrola</w:t>
      </w:r>
    </w:p>
    <w:p w14:paraId="3D547A80" w14:textId="77777777" w:rsidR="007F3325" w:rsidRDefault="007F3325" w:rsidP="007F3325">
      <w:r>
        <w:t>Z hlediska vizuální kontroly umožňuje perforace bezpečnostním pracovníkům nebo jinému personálu kontrolovat předměty uvnitř skříňky. To může být vyžadováno, pokud budou skříňky používány ve veřejném prostředí.</w:t>
      </w:r>
    </w:p>
    <w:p w14:paraId="6CEC5C6F" w14:textId="77777777" w:rsidR="007F3325" w:rsidRPr="0094058A" w:rsidRDefault="007F3325" w:rsidP="007F3325">
      <w:pPr>
        <w:rPr>
          <w:b/>
          <w:bCs/>
        </w:rPr>
      </w:pPr>
      <w:r w:rsidRPr="0094058A">
        <w:rPr>
          <w:b/>
          <w:bCs/>
        </w:rPr>
        <w:t>Ventilace</w:t>
      </w:r>
    </w:p>
    <w:p w14:paraId="42A309A8" w14:textId="77777777" w:rsidR="007F3325" w:rsidRDefault="007F3325" w:rsidP="007F3325">
      <w:r>
        <w:t>Kromě zabezpečení poskytuje perforace dodatečné odvětrávání, které ochlazuje skříňky umístěné v teplém prostředí, zejména u venkovních skříněk na kola.</w:t>
      </w:r>
    </w:p>
    <w:p w14:paraId="03B64B46" w14:textId="77777777" w:rsidR="007F3325" w:rsidRDefault="007F3325" w:rsidP="007F3325">
      <w:r>
        <w:t>Umožňuje také cirkulaci čerstvého vzduchu ve skříňce. To je výhodné, protože cyklisté mohou uvnitř skříňky ukládat zpocené nebo mokré oblečení.</w:t>
      </w:r>
    </w:p>
    <w:p w14:paraId="03727CB9" w14:textId="77777777" w:rsidR="007F3325" w:rsidRDefault="007F3325" w:rsidP="007F3325"/>
    <w:p w14:paraId="366D6D56" w14:textId="5E166310" w:rsidR="007F3325" w:rsidRPr="0094058A" w:rsidRDefault="0094058A" w:rsidP="007F3325">
      <w:pPr>
        <w:pStyle w:val="Nadpis2"/>
        <w:rPr>
          <w:b w:val="0"/>
          <w:bCs w:val="0"/>
        </w:rPr>
      </w:pPr>
      <w:r w:rsidRPr="00516960">
        <w:rPr>
          <w:b w:val="0"/>
          <w:bCs w:val="0"/>
        </w:rPr>
        <w:t>Dveře</w:t>
      </w:r>
      <w:r>
        <w:rPr>
          <w:b w:val="0"/>
          <w:bCs w:val="0"/>
        </w:rPr>
        <w:t xml:space="preserve"> </w:t>
      </w:r>
      <w:r w:rsidRPr="0094058A">
        <w:rPr>
          <w:b w:val="0"/>
          <w:bCs w:val="0"/>
        </w:rPr>
        <w:t xml:space="preserve">– </w:t>
      </w:r>
      <w:r>
        <w:rPr>
          <w:b w:val="0"/>
          <w:bCs w:val="0"/>
        </w:rPr>
        <w:t>u</w:t>
      </w:r>
      <w:r w:rsidRPr="0094058A">
        <w:rPr>
          <w:b w:val="0"/>
          <w:bCs w:val="0"/>
        </w:rPr>
        <w:t>zamykací</w:t>
      </w:r>
      <w:r w:rsidR="007F3325" w:rsidRPr="0094058A">
        <w:rPr>
          <w:b w:val="0"/>
          <w:bCs w:val="0"/>
        </w:rPr>
        <w:t xml:space="preserve"> mechanismus</w:t>
      </w:r>
    </w:p>
    <w:p w14:paraId="1F083DCF" w14:textId="77777777" w:rsidR="007F3325" w:rsidRDefault="007F3325" w:rsidP="007F3325">
      <w:r>
        <w:t>Další důležitou součástí, která přispívá k celkové bezpečnosti skříněk na kola, je zamykací mechanismus. Nejdůležitějším faktorem zamykacího mechanismu bude počet výstupků, které jej upevňují do vnitřního rámu.</w:t>
      </w:r>
    </w:p>
    <w:p w14:paraId="1A37DF34" w14:textId="77777777" w:rsidR="007F3325" w:rsidRDefault="007F3325" w:rsidP="007F3325">
      <w:r>
        <w:t xml:space="preserve">Výstupky slouží k uzamčení dveří v zavřené poloze a zajišťují bezpečnost proti útokům cizích osob. Čím méně je výstupků, tím větší je pravděpodobnost, že se dveře podaří vypáčit. </w:t>
      </w:r>
      <w:r w:rsidRPr="0094058A">
        <w:rPr>
          <w:b/>
          <w:bCs/>
        </w:rPr>
        <w:t>Doporučují se tři vložky</w:t>
      </w:r>
      <w:r>
        <w:t>. Minimálně by měly být dvě.</w:t>
      </w:r>
    </w:p>
    <w:p w14:paraId="6C7A9FC9" w14:textId="77777777" w:rsidR="007F3325" w:rsidRDefault="007F3325" w:rsidP="007F3325">
      <w:r>
        <w:t>Existuje také několik různých typů zamykacích mechanismů, které se běžně používají u skříněk na kola. Výběr stylu do značné míry závisí na tom, jak hodláte skříňku na kola používat.</w:t>
      </w:r>
    </w:p>
    <w:p w14:paraId="3750D051" w14:textId="0BB838E8" w:rsidR="007F3325" w:rsidRDefault="007F3325" w:rsidP="007F3325">
      <w:r>
        <w:t xml:space="preserve">Uzamykací mechanismus se zámkem na </w:t>
      </w:r>
      <w:proofErr w:type="spellStart"/>
      <w:r>
        <w:t>kliče</w:t>
      </w:r>
      <w:proofErr w:type="spellEnd"/>
      <w:r>
        <w:t xml:space="preserve"> se zamyká zasunutím zámku (FAB) nebo použitím zámku ve tvaru U přes rukojeť. Stojí za zmínku, že uzamykací </w:t>
      </w:r>
      <w:proofErr w:type="gramStart"/>
      <w:r>
        <w:t>prvek - zámek</w:t>
      </w:r>
      <w:proofErr w:type="gramEnd"/>
      <w:r>
        <w:t xml:space="preserve"> ve tvaru U nebo FAB zámek - jsou u tohoto uzamykacího mechanismu externí. Existuje možnost, že zloději mohou použít nástroje k přeříznutí nebo rozlomení zámků.</w:t>
      </w:r>
    </w:p>
    <w:p w14:paraId="3254754A" w14:textId="77777777" w:rsidR="007F3325" w:rsidRDefault="007F3325" w:rsidP="007F3325">
      <w:r>
        <w:t>Doporučujeme tyto zámky používat u skříněk na kola v prostorách, které jsou vyhrazeny pouze pro uživatele skříněk na kola, jsou určeny pro krátkodobé parkování kol nebo jsou pod stálým dohledem.</w:t>
      </w:r>
    </w:p>
    <w:p w14:paraId="6D2464C2" w14:textId="77777777" w:rsidR="007F3325" w:rsidRDefault="007F3325" w:rsidP="007F3325">
      <w:r>
        <w:t>Další uzamykací mechanismus, T-zámky, je nejvhodnější v situacích, kdy budou skříňky přiděleny jednotlivcům. Obvykle se jedná o dlouhodobější pronájmy nebo leasingy.</w:t>
      </w:r>
    </w:p>
    <w:p w14:paraId="283A4E41" w14:textId="77777777" w:rsidR="007F3325" w:rsidRDefault="007F3325" w:rsidP="007F3325">
      <w:r>
        <w:t xml:space="preserve">Tento typ zámku se skládá z vnitřního uzamykacího mechanismu zabudovaného do skříňky a výsuvné T-klíčové západky. Tyto zámky se dodávají s individuálními, </w:t>
      </w:r>
      <w:proofErr w:type="spellStart"/>
      <w:r>
        <w:t>neduplikovatelnými</w:t>
      </w:r>
      <w:proofErr w:type="spellEnd"/>
      <w:r>
        <w:t xml:space="preserve"> klíči, které lze následně rozdělit pro přidělenou skříňku. Potenciální </w:t>
      </w:r>
      <w:r>
        <w:lastRenderedPageBreak/>
        <w:t>problém u tohoto zamykacího mechanismu představuje ztráta nebo nevrácení klíčů. Zámek je pak nutné vyměnit nebo znovu přidělat klíč.</w:t>
      </w:r>
    </w:p>
    <w:p w14:paraId="5FD8DD1E" w14:textId="77777777" w:rsidR="007F3325" w:rsidRPr="007A0DB9" w:rsidRDefault="007F3325" w:rsidP="007F3325">
      <w:r w:rsidRPr="007A0DB9">
        <w:t xml:space="preserve">Mezi další možnosti zamykání patří elektronické klávesnice nebo karty RFID, které umožňují snadnou správu a nemusíte řešit ztrátu klíčů. Pro veřejná místa, kde je žádoucí příležitostní parkování, je nyní k dispozici nová možnost ovládaná pomocí Bluetooth, která poskytuje majiteli skříňky na kola plnou kontrolu nad tím, jak lze každou skříňku </w:t>
      </w:r>
      <w:proofErr w:type="gramStart"/>
      <w:r w:rsidRPr="007A0DB9">
        <w:t>využívat - za</w:t>
      </w:r>
      <w:proofErr w:type="gramEnd"/>
      <w:r w:rsidRPr="007A0DB9">
        <w:t xml:space="preserve"> hodinový, denní, týdenní, měsíční poplatek, členství atd.</w:t>
      </w:r>
    </w:p>
    <w:p w14:paraId="1DA7A902" w14:textId="77777777" w:rsidR="007F3325" w:rsidRPr="00572B78" w:rsidRDefault="007F3325" w:rsidP="007F3325">
      <w:pPr>
        <w:rPr>
          <w:b/>
          <w:bCs/>
        </w:rPr>
      </w:pPr>
      <w:r w:rsidRPr="00572B78">
        <w:rPr>
          <w:b/>
          <w:bCs/>
        </w:rPr>
        <w:t>Ukotvení skříněk na kola</w:t>
      </w:r>
    </w:p>
    <w:p w14:paraId="440B74CA" w14:textId="77777777" w:rsidR="007F3325" w:rsidRDefault="007F3325" w:rsidP="007F3325">
      <w:r>
        <w:t>Důležité je také zajistit, aby bylo možné skříňku ukotvit k povrchu. Hledejte skříňky, které mají předvrtané otvory, do nichž lze k upevnění skříňky k betonovému povrchu použít hrotové kotvy.</w:t>
      </w:r>
    </w:p>
    <w:p w14:paraId="068C32AB" w14:textId="17C69348" w:rsidR="007F3325" w:rsidRDefault="007F3325" w:rsidP="007F3325">
      <w:r>
        <w:t xml:space="preserve">Skříňky na kola poskytují nejlepší zabezpečení při ukládání jízdních </w:t>
      </w:r>
      <w:proofErr w:type="gramStart"/>
      <w:r>
        <w:t>kol - pokud</w:t>
      </w:r>
      <w:proofErr w:type="gramEnd"/>
      <w:r>
        <w:t xml:space="preserve"> jsou vyrobeny ze správných materiálů. </w:t>
      </w:r>
    </w:p>
    <w:p w14:paraId="4B806FF6" w14:textId="77777777" w:rsidR="007F3325" w:rsidRPr="00025737" w:rsidRDefault="007F3325" w:rsidP="007A0DB9">
      <w:r w:rsidRPr="00025737">
        <w:t>Skříňky na kola umístěné ve vnitřních prostorách nemusí vyžadovat stejně odolnou konstrukci odolnou proti povětrnostním vlivům jako skříňky na kola umístěné ve venkovních veřejných prostorách, například na autobusových a vlakových nádražích. Oboustranné skříňky na kola mohou nabídnout nižší náklady na místo pro kolo než jednostranné skříňky.</w:t>
      </w:r>
    </w:p>
    <w:p w14:paraId="1953FFCB" w14:textId="77777777" w:rsidR="007F3325" w:rsidRPr="00025737" w:rsidRDefault="007F3325" w:rsidP="007A0DB9">
      <w:r w:rsidRPr="00025737">
        <w:t>Pokud se podíváme na požadavky na rozměry, skříňky na kola vyžadují více prostoru než stojany na kola. Kromě plochy skříňky na kola je pro parkování kol vyžadována přístupová ulička o šířce 2 000 mm.</w:t>
      </w:r>
    </w:p>
    <w:p w14:paraId="4688D6E7" w14:textId="77777777" w:rsidR="007F3325" w:rsidRDefault="007F3325" w:rsidP="007F3325"/>
    <w:p w14:paraId="0AA932B0" w14:textId="77777777" w:rsidR="007F3325" w:rsidRPr="00572B78" w:rsidRDefault="007F3325" w:rsidP="007F3325">
      <w:pPr>
        <w:rPr>
          <w:sz w:val="22"/>
          <w:szCs w:val="22"/>
        </w:rPr>
      </w:pPr>
      <w:hyperlink r:id="rId8" w:history="1">
        <w:r w:rsidRPr="00572B78">
          <w:rPr>
            <w:rStyle w:val="Hypertextovodkaz"/>
            <w:sz w:val="22"/>
            <w:szCs w:val="22"/>
          </w:rPr>
          <w:t>https://blog.madrax.com/blog/security-features-of-bike-lockers</w:t>
        </w:r>
      </w:hyperlink>
    </w:p>
    <w:p w14:paraId="180A4A74" w14:textId="77777777" w:rsidR="007F3325" w:rsidRPr="00572B78" w:rsidRDefault="007F3325" w:rsidP="007F3325">
      <w:pPr>
        <w:rPr>
          <w:sz w:val="22"/>
          <w:szCs w:val="22"/>
        </w:rPr>
      </w:pPr>
      <w:hyperlink r:id="rId9" w:history="1">
        <w:r w:rsidRPr="00572B78">
          <w:rPr>
            <w:rStyle w:val="Hypertextovodkaz"/>
            <w:sz w:val="22"/>
            <w:szCs w:val="22"/>
          </w:rPr>
          <w:t>https://www.bikeaway.com/</w:t>
        </w:r>
      </w:hyperlink>
    </w:p>
    <w:p w14:paraId="5DD706AD" w14:textId="77777777" w:rsidR="007F3325" w:rsidRPr="00572B78" w:rsidRDefault="007F3325" w:rsidP="007F3325">
      <w:pPr>
        <w:rPr>
          <w:sz w:val="22"/>
          <w:szCs w:val="22"/>
        </w:rPr>
      </w:pPr>
      <w:hyperlink r:id="rId10" w:history="1">
        <w:r w:rsidRPr="00572B78">
          <w:rPr>
            <w:rStyle w:val="Hypertextovodkaz"/>
            <w:sz w:val="22"/>
            <w:szCs w:val="22"/>
          </w:rPr>
          <w:t>https://www.linkedin.com/pulse/bicycle-lockers-ultimate-security-convenience-jon-rutledge/</w:t>
        </w:r>
      </w:hyperlink>
    </w:p>
    <w:p w14:paraId="1D280014" w14:textId="77777777" w:rsidR="007F3325" w:rsidRPr="007A0DB9" w:rsidRDefault="007F3325" w:rsidP="007F3325">
      <w:pPr>
        <w:rPr>
          <w:sz w:val="22"/>
          <w:szCs w:val="22"/>
        </w:rPr>
      </w:pPr>
      <w:hyperlink r:id="rId11" w:history="1">
        <w:r w:rsidRPr="007A0DB9">
          <w:rPr>
            <w:rStyle w:val="Hypertextovodkaz"/>
            <w:sz w:val="22"/>
            <w:szCs w:val="22"/>
          </w:rPr>
          <w:t>https://www.cora.com.au/contact/</w:t>
        </w:r>
      </w:hyperlink>
    </w:p>
    <w:p w14:paraId="7F984FA0" w14:textId="77777777" w:rsidR="002E6A66" w:rsidRDefault="002E6A66" w:rsidP="00BB571A"/>
    <w:p w14:paraId="418BC239" w14:textId="337D078D" w:rsidR="00B633DB" w:rsidRDefault="00B633DB" w:rsidP="009E4A64"/>
    <w:sectPr w:rsidR="00B633DB" w:rsidSect="007669D9">
      <w:headerReference w:type="default" r:id="rId12"/>
      <w:footerReference w:type="default" r:id="rId13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E4BC" w14:textId="77777777" w:rsidR="00AE7691" w:rsidRDefault="00AE7691" w:rsidP="00324ED3">
      <w:r>
        <w:separator/>
      </w:r>
    </w:p>
  </w:endnote>
  <w:endnote w:type="continuationSeparator" w:id="0">
    <w:p w14:paraId="73BBB05A" w14:textId="77777777" w:rsidR="00AE7691" w:rsidRDefault="00AE7691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E2BC2" w14:textId="77777777" w:rsidR="00AE7691" w:rsidRDefault="00AE7691" w:rsidP="00324ED3">
      <w:r>
        <w:separator/>
      </w:r>
    </w:p>
  </w:footnote>
  <w:footnote w:type="continuationSeparator" w:id="0">
    <w:p w14:paraId="4A395A3B" w14:textId="77777777" w:rsidR="00AE7691" w:rsidRDefault="00AE7691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0B332F3"/>
    <w:multiLevelType w:val="hybridMultilevel"/>
    <w:tmpl w:val="9E6C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3F25"/>
    <w:multiLevelType w:val="hybridMultilevel"/>
    <w:tmpl w:val="7A6E2C24"/>
    <w:lvl w:ilvl="0" w:tplc="AC0258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A02813"/>
    <w:multiLevelType w:val="hybridMultilevel"/>
    <w:tmpl w:val="1D36D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0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11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2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3" w15:restartNumberingAfterBreak="0">
    <w:nsid w:val="7E7B7745"/>
    <w:multiLevelType w:val="hybridMultilevel"/>
    <w:tmpl w:val="6B700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9563">
    <w:abstractNumId w:val="1"/>
  </w:num>
  <w:num w:numId="2" w16cid:durableId="862091071">
    <w:abstractNumId w:val="5"/>
  </w:num>
  <w:num w:numId="3" w16cid:durableId="31929978">
    <w:abstractNumId w:val="10"/>
  </w:num>
  <w:num w:numId="4" w16cid:durableId="2028094868">
    <w:abstractNumId w:val="2"/>
  </w:num>
  <w:num w:numId="5" w16cid:durableId="1040670771">
    <w:abstractNumId w:val="12"/>
  </w:num>
  <w:num w:numId="6" w16cid:durableId="1304430123">
    <w:abstractNumId w:val="9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8"/>
  </w:num>
  <w:num w:numId="9" w16cid:durableId="348607067">
    <w:abstractNumId w:val="11"/>
  </w:num>
  <w:num w:numId="10" w16cid:durableId="2051688838">
    <w:abstractNumId w:val="0"/>
  </w:num>
  <w:num w:numId="11" w16cid:durableId="1358848050">
    <w:abstractNumId w:val="6"/>
  </w:num>
  <w:num w:numId="12" w16cid:durableId="642849423">
    <w:abstractNumId w:val="6"/>
  </w:num>
  <w:num w:numId="13" w16cid:durableId="56904516">
    <w:abstractNumId w:val="7"/>
  </w:num>
  <w:num w:numId="14" w16cid:durableId="971835092">
    <w:abstractNumId w:val="3"/>
  </w:num>
  <w:num w:numId="15" w16cid:durableId="2087680402">
    <w:abstractNumId w:val="4"/>
  </w:num>
  <w:num w:numId="16" w16cid:durableId="881281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261619"/>
    <w:rsid w:val="002776AD"/>
    <w:rsid w:val="002B2E8B"/>
    <w:rsid w:val="002D6CFB"/>
    <w:rsid w:val="002D7A8C"/>
    <w:rsid w:val="002E6A66"/>
    <w:rsid w:val="00314E51"/>
    <w:rsid w:val="00324ED3"/>
    <w:rsid w:val="003D4BFB"/>
    <w:rsid w:val="00441478"/>
    <w:rsid w:val="0057627A"/>
    <w:rsid w:val="0058739A"/>
    <w:rsid w:val="005C3038"/>
    <w:rsid w:val="00691211"/>
    <w:rsid w:val="007437DB"/>
    <w:rsid w:val="007669D9"/>
    <w:rsid w:val="007A0DB9"/>
    <w:rsid w:val="007A6F3A"/>
    <w:rsid w:val="007F3325"/>
    <w:rsid w:val="008447FF"/>
    <w:rsid w:val="008B1623"/>
    <w:rsid w:val="008B7260"/>
    <w:rsid w:val="008C536C"/>
    <w:rsid w:val="008E4273"/>
    <w:rsid w:val="0094058A"/>
    <w:rsid w:val="009E4A64"/>
    <w:rsid w:val="00A056F7"/>
    <w:rsid w:val="00A55793"/>
    <w:rsid w:val="00A55EE6"/>
    <w:rsid w:val="00A77424"/>
    <w:rsid w:val="00AD2A7B"/>
    <w:rsid w:val="00AE7691"/>
    <w:rsid w:val="00AF7C97"/>
    <w:rsid w:val="00B16083"/>
    <w:rsid w:val="00B633DB"/>
    <w:rsid w:val="00BB571A"/>
    <w:rsid w:val="00D330E8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34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2E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madrax.com/blog/security-features-of-bike-locke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ra.com.au/contac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pulse/bicycle-lockers-ultimate-security-convenience-jon-rutled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keaway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3</cp:revision>
  <dcterms:created xsi:type="dcterms:W3CDTF">2025-03-26T12:53:00Z</dcterms:created>
  <dcterms:modified xsi:type="dcterms:W3CDTF">2025-03-26T13:04:00Z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